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788BA6CE"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0CD46045" w:rsidR="00F445B1" w:rsidRPr="00C55247" w:rsidRDefault="00E0652A" w:rsidP="007B5CA2">
            <w:pPr>
              <w:rPr>
                <w:rFonts w:cs="Arial"/>
                <w:b/>
                <w:bCs/>
                <w:color w:val="auto"/>
              </w:rPr>
            </w:pPr>
            <w:r>
              <w:rPr>
                <w:rFonts w:cs="Arial"/>
                <w:b/>
                <w:bCs/>
                <w:color w:val="auto"/>
              </w:rPr>
              <w:t>20 March 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0A407769" w:rsidR="00F445B1" w:rsidRPr="00C55247" w:rsidRDefault="00DB7C7E" w:rsidP="2BB29E7E">
            <w:pPr>
              <w:rPr>
                <w:rStyle w:val="Firstpagetablebold"/>
                <w:rFonts w:cs="Arial"/>
                <w:b w:val="0"/>
                <w:color w:val="auto"/>
              </w:rPr>
            </w:pPr>
            <w:r>
              <w:rPr>
                <w:rStyle w:val="Firstpagetablebold"/>
                <w:rFonts w:cs="Arial"/>
                <w:b w:val="0"/>
                <w:color w:val="auto"/>
              </w:rPr>
              <w:t>Tom Bridgman, Deputy Chief Executive Place</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4C92D31B" w:rsidR="00F445B1" w:rsidRPr="00C55247" w:rsidRDefault="00DB7C7E" w:rsidP="6705CB2F">
            <w:pPr>
              <w:rPr>
                <w:rStyle w:val="Firstpagetablebold"/>
                <w:rFonts w:cs="Arial"/>
                <w:b w:val="0"/>
                <w:color w:val="auto"/>
              </w:rPr>
            </w:pPr>
            <w:r>
              <w:rPr>
                <w:rStyle w:val="Firstpagetablebold"/>
                <w:rFonts w:cs="Arial"/>
                <w:b w:val="0"/>
                <w:color w:val="auto"/>
              </w:rPr>
              <w:t>Disposal of Northgate Hall, 18 St Michaels Street, Oxford</w:t>
            </w:r>
            <w:r w:rsidR="006C767F" w:rsidRPr="00C55247">
              <w:rPr>
                <w:rStyle w:val="Firstpagetablebold"/>
                <w:rFonts w:cs="Arial"/>
                <w:b w:val="0"/>
                <w:color w:val="auto"/>
              </w:rPr>
              <w:t xml:space="preserve"> </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1F1DDD27" w:rsidR="00D5547E" w:rsidRPr="00C55247" w:rsidRDefault="00DB7C7E" w:rsidP="2BB29E7E">
            <w:pPr>
              <w:rPr>
                <w:rFonts w:cs="Arial"/>
                <w:color w:val="auto"/>
              </w:rPr>
            </w:pPr>
            <w:r>
              <w:rPr>
                <w:rFonts w:cs="Arial"/>
                <w:color w:val="auto"/>
              </w:rPr>
              <w:t>T</w:t>
            </w:r>
            <w:r>
              <w:t>o dispose of the freehold of Northgate Hall, St Michaels Street, Oxford on the terms set out in the Confidential Appendix</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068CF8C5" w14:textId="77777777" w:rsidR="00DB7C7E" w:rsidRDefault="00DB7C7E" w:rsidP="2BB29E7E">
            <w:pPr>
              <w:rPr>
                <w:rFonts w:cs="Arial"/>
                <w:color w:val="auto"/>
              </w:rPr>
            </w:pPr>
            <w:r>
              <w:rPr>
                <w:rFonts w:cs="Arial"/>
                <w:color w:val="auto"/>
              </w:rPr>
              <w:t xml:space="preserve">Yes </w:t>
            </w:r>
          </w:p>
          <w:p w14:paraId="16E2C596" w14:textId="6DD103D5" w:rsidR="00D5547E" w:rsidRPr="00C55247" w:rsidRDefault="00000000" w:rsidP="2BB29E7E">
            <w:pPr>
              <w:rPr>
                <w:rFonts w:cs="Arial"/>
                <w:color w:val="auto"/>
              </w:rPr>
            </w:pPr>
            <w:hyperlink r:id="rId11" w:history="1">
              <w:r w:rsidR="00DB7C7E">
                <w:rPr>
                  <w:rStyle w:val="Hyperlink"/>
                </w:rPr>
                <w:t>Issue details - Disposal of the freehold of Northgate Hall, 18 St Michael's Street | Oxford City Council</w:t>
              </w:r>
            </w:hyperlink>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1F0F470C" w14:textId="24B063C4" w:rsidR="00E60B17" w:rsidRDefault="00DB7C7E" w:rsidP="00523261">
            <w:pPr>
              <w:rPr>
                <w:rStyle w:val="CommentReference"/>
                <w:b/>
                <w:bCs/>
              </w:rPr>
            </w:pPr>
            <w:r>
              <w:rPr>
                <w:rFonts w:cs="Arial"/>
                <w:color w:val="auto"/>
              </w:rPr>
              <w:t xml:space="preserve">Authority delegated by Cabinet in Cabinet meeting of 5 February 2025 </w:t>
            </w:r>
            <w:r w:rsidR="00565063" w:rsidRPr="000A7DBA">
              <w:t xml:space="preserve">to the </w:t>
            </w:r>
            <w:r w:rsidR="00565063">
              <w:t>Deputy Chief Executive Place</w:t>
            </w:r>
            <w:r w:rsidR="00565063" w:rsidRPr="000A7DBA">
              <w:t xml:space="preserve"> in consultation with the Deputy Leader and Cabinet Member for Finance &amp; Asset Management and the </w:t>
            </w:r>
            <w:r w:rsidR="00565063">
              <w:t>Director Law, Governance &amp; Strategy</w:t>
            </w:r>
            <w:r w:rsidR="00565063" w:rsidRPr="000A7DBA">
              <w:t xml:space="preserve"> and </w:t>
            </w:r>
            <w:r w:rsidR="00565063">
              <w:t xml:space="preserve">Group Finance Director </w:t>
            </w:r>
            <w:r w:rsidR="00565063" w:rsidRPr="000A7DBA">
              <w:t>the agreement of the detailed terms for the sale and to enter into all necessary documentation to effect the disposal on the basis that the terms comply with s.123 of the Local Government Act 1972</w:t>
            </w:r>
            <w:commentRangeStart w:id="0"/>
            <w:commentRangeStart w:id="1"/>
            <w:commentRangeStart w:id="2"/>
            <w:commentRangeStart w:id="3"/>
            <w:r w:rsidR="00565063" w:rsidRPr="000B5A31">
              <w:rPr>
                <w:rStyle w:val="Firstpagetablebold"/>
                <w:b w:val="0"/>
              </w:rPr>
              <w:t>,</w:t>
            </w:r>
            <w:r w:rsidR="00565063" w:rsidRPr="000A7DBA">
              <w:rPr>
                <w:rStyle w:val="Firstpagetablebold"/>
                <w:b w:val="0"/>
              </w:rPr>
              <w:t xml:space="preserve"> where powers are not already delegated within the constitution</w:t>
            </w:r>
            <w:commentRangeEnd w:id="0"/>
            <w:r w:rsidR="00565063" w:rsidRPr="000A7DBA">
              <w:rPr>
                <w:rStyle w:val="CommentReference"/>
              </w:rPr>
              <w:commentReference w:id="0"/>
            </w:r>
            <w:commentRangeEnd w:id="1"/>
            <w:r w:rsidR="00565063" w:rsidRPr="000A7DBA">
              <w:rPr>
                <w:rStyle w:val="CommentReference"/>
              </w:rPr>
              <w:commentReference w:id="1"/>
            </w:r>
            <w:commentRangeEnd w:id="2"/>
            <w:r w:rsidR="00565063" w:rsidRPr="000A7DBA">
              <w:rPr>
                <w:rStyle w:val="CommentReference"/>
              </w:rPr>
              <w:commentReference w:id="2"/>
            </w:r>
            <w:commentRangeEnd w:id="3"/>
            <w:r w:rsidR="00565063" w:rsidRPr="000A7DBA">
              <w:rPr>
                <w:rStyle w:val="CommentReference"/>
              </w:rPr>
              <w:commentReference w:id="3"/>
            </w:r>
            <w:r w:rsidR="00565063" w:rsidRPr="000B5A31">
              <w:rPr>
                <w:rStyle w:val="CommentReference"/>
                <w:b/>
                <w:bCs/>
              </w:rPr>
              <w:t>.</w:t>
            </w:r>
          </w:p>
          <w:p w14:paraId="3EDC2A0E" w14:textId="3E9EA29F" w:rsidR="00E60B17" w:rsidRDefault="00000000" w:rsidP="00523261">
            <w:pPr>
              <w:rPr>
                <w:rFonts w:cs="Arial"/>
                <w:color w:val="auto"/>
              </w:rPr>
            </w:pPr>
            <w:hyperlink r:id="rId16" w:history="1">
              <w:r w:rsidR="00E60B17">
                <w:rPr>
                  <w:rStyle w:val="Hyperlink"/>
                </w:rPr>
                <w:t>Agenda for Cabinet on Wednesday 5 February 2025, 6.00 pm | Oxford City Council</w:t>
              </w:r>
            </w:hyperlink>
          </w:p>
          <w:p w14:paraId="24C2E022" w14:textId="0E718711" w:rsidR="006B2DE1" w:rsidRPr="00C55247" w:rsidRDefault="006B2DE1" w:rsidP="003E4C33">
            <w:pPr>
              <w:rPr>
                <w:rFonts w:cs="Arial"/>
                <w:color w:val="auto"/>
              </w:rPr>
            </w:pP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354291AB" w:rsidR="00E508A1" w:rsidRPr="00C55247" w:rsidRDefault="00565063" w:rsidP="00E508A1">
            <w:pPr>
              <w:rPr>
                <w:rFonts w:cs="Arial"/>
                <w:color w:val="auto"/>
              </w:rPr>
            </w:pPr>
            <w:r w:rsidRPr="000A7DBA">
              <w:t>Councillor Ed Turner Deputy Leader and Cabinet Member for Finance &amp; Asset Management</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686B773C" w:rsidR="00E508A1" w:rsidRPr="00C55247" w:rsidRDefault="00565063" w:rsidP="00E508A1">
            <w:pPr>
              <w:rPr>
                <w:rFonts w:cs="Arial"/>
                <w:color w:val="auto"/>
              </w:rPr>
            </w:pPr>
            <w:r>
              <w:rPr>
                <w:rFonts w:cs="Arial"/>
                <w:color w:val="auto"/>
              </w:rPr>
              <w:t xml:space="preserve">Well Run Council </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22992525" w:rsidR="00E508A1" w:rsidRPr="00C55247" w:rsidRDefault="00565063" w:rsidP="00E508A1">
            <w:pPr>
              <w:rPr>
                <w:rFonts w:cs="Arial"/>
                <w:color w:val="auto"/>
              </w:rPr>
            </w:pPr>
            <w:r>
              <w:rPr>
                <w:rFonts w:cs="Arial"/>
                <w:color w:val="auto"/>
              </w:rPr>
              <w:t xml:space="preserve">Medium Term Financial Plan </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1486"/>
        <w:gridCol w:w="2803"/>
        <w:gridCol w:w="4130"/>
        <w:gridCol w:w="325"/>
      </w:tblGrid>
      <w:tr w:rsidR="00340B77" w:rsidRPr="00975B07" w14:paraId="6AB9E16B" w14:textId="77777777" w:rsidTr="00FD0B08">
        <w:trPr>
          <w:gridAfter w:val="1"/>
          <w:wAfter w:w="325" w:type="dxa"/>
          <w:trHeight w:val="413"/>
        </w:trPr>
        <w:tc>
          <w:tcPr>
            <w:tcW w:w="8845" w:type="dxa"/>
            <w:gridSpan w:val="4"/>
            <w:tcBorders>
              <w:bottom w:val="single" w:sz="8" w:space="0" w:color="000000"/>
            </w:tcBorders>
          </w:tcPr>
          <w:p w14:paraId="39BB8A6A" w14:textId="06A3AE87" w:rsidR="00340B77" w:rsidRPr="00975B07" w:rsidRDefault="00635E3E" w:rsidP="00FD0B08">
            <w:r>
              <w:t xml:space="preserve">The </w:t>
            </w:r>
            <w:r w:rsidR="00565063">
              <w:t>Deput</w:t>
            </w:r>
            <w:r w:rsidR="00900092">
              <w:t>y</w:t>
            </w:r>
            <w:r w:rsidR="00565063">
              <w:t xml:space="preserve"> Chief Executive Place</w:t>
            </w:r>
            <w:r>
              <w:t xml:space="preserve"> decides as follows: </w:t>
            </w:r>
          </w:p>
        </w:tc>
      </w:tr>
      <w:tr w:rsidR="00340B77" w:rsidRPr="00975B07" w14:paraId="1817F3CE" w14:textId="77777777" w:rsidTr="00FD0B08">
        <w:trPr>
          <w:gridAfter w:val="1"/>
          <w:wAfter w:w="325" w:type="dxa"/>
          <w:trHeight w:val="283"/>
        </w:trPr>
        <w:tc>
          <w:tcPr>
            <w:tcW w:w="426" w:type="dxa"/>
            <w:tcBorders>
              <w:top w:val="single" w:sz="8" w:space="0" w:color="000000"/>
              <w:left w:val="single" w:sz="8" w:space="0" w:color="000000"/>
              <w:bottom w:val="nil"/>
              <w:right w:val="nil"/>
            </w:tcBorders>
          </w:tcPr>
          <w:p w14:paraId="7809A8B3" w14:textId="77777777" w:rsidR="00340B77" w:rsidRPr="00975B07" w:rsidRDefault="00340B77" w:rsidP="00FD0B08">
            <w:r w:rsidRPr="00975B07">
              <w:t>1.</w:t>
            </w:r>
          </w:p>
        </w:tc>
        <w:tc>
          <w:tcPr>
            <w:tcW w:w="8419" w:type="dxa"/>
            <w:gridSpan w:val="3"/>
            <w:tcBorders>
              <w:top w:val="single" w:sz="8" w:space="0" w:color="000000"/>
              <w:left w:val="nil"/>
              <w:bottom w:val="nil"/>
              <w:right w:val="single" w:sz="8" w:space="0" w:color="000000"/>
            </w:tcBorders>
            <w:shd w:val="clear" w:color="auto" w:fill="auto"/>
          </w:tcPr>
          <w:p w14:paraId="2599CB46" w14:textId="0089398B" w:rsidR="00340B77" w:rsidRPr="00900092" w:rsidRDefault="00900092" w:rsidP="00FD0B08">
            <w:pPr>
              <w:rPr>
                <w:bCs/>
              </w:rPr>
            </w:pPr>
            <w:r>
              <w:rPr>
                <w:rStyle w:val="Firstpagetablebold"/>
              </w:rPr>
              <w:t xml:space="preserve">To enter into the sale contract and effect the freehold disposal </w:t>
            </w:r>
            <w:r>
              <w:rPr>
                <w:rStyle w:val="Firstpagetablebold"/>
                <w:b w:val="0"/>
                <w:bCs/>
              </w:rPr>
              <w:t>of Northgate Hall, 18 St Michaels Street, Oxford on the terms set out in the Confidential Appendix.</w:t>
            </w:r>
          </w:p>
        </w:tc>
      </w:tr>
      <w:tr w:rsidR="00340B77" w:rsidRPr="00975B07" w14:paraId="0BA55342" w14:textId="77777777" w:rsidTr="00FD0B08">
        <w:trPr>
          <w:gridAfter w:val="1"/>
          <w:wAfter w:w="325" w:type="dxa"/>
          <w:trHeight w:val="283"/>
        </w:trPr>
        <w:tc>
          <w:tcPr>
            <w:tcW w:w="426" w:type="dxa"/>
            <w:tcBorders>
              <w:top w:val="nil"/>
              <w:left w:val="single" w:sz="8" w:space="0" w:color="000000"/>
              <w:bottom w:val="single" w:sz="8" w:space="0" w:color="000000"/>
              <w:right w:val="nil"/>
            </w:tcBorders>
          </w:tcPr>
          <w:p w14:paraId="36306625" w14:textId="3F261E7F" w:rsidR="00340B77" w:rsidRPr="00975B07" w:rsidRDefault="00340B77" w:rsidP="00FD0B08"/>
        </w:tc>
        <w:tc>
          <w:tcPr>
            <w:tcW w:w="8419" w:type="dxa"/>
            <w:gridSpan w:val="3"/>
            <w:tcBorders>
              <w:top w:val="nil"/>
              <w:left w:val="nil"/>
              <w:bottom w:val="single" w:sz="8" w:space="0" w:color="000000"/>
              <w:right w:val="single" w:sz="8" w:space="0" w:color="000000"/>
            </w:tcBorders>
            <w:shd w:val="clear" w:color="auto" w:fill="auto"/>
          </w:tcPr>
          <w:p w14:paraId="79CB69C3" w14:textId="53B3D09A" w:rsidR="00340B77" w:rsidRPr="001356F1" w:rsidRDefault="00340B77" w:rsidP="00FD0B08"/>
        </w:tc>
      </w:tr>
      <w:tr w:rsidR="004A39C3" w:rsidRPr="003E4C33" w14:paraId="1B1B668F" w14:textId="77777777" w:rsidTr="6705CB2F">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300"/>
        </w:trPr>
        <w:tc>
          <w:tcPr>
            <w:tcW w:w="1912" w:type="dxa"/>
            <w:gridSpan w:val="2"/>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lastRenderedPageBreak/>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gridSpan w:val="2"/>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rPr>
          <w:trHeight w:val="300"/>
        </w:trPr>
        <w:tc>
          <w:tcPr>
            <w:tcW w:w="1912" w:type="dxa"/>
            <w:gridSpan w:val="2"/>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507E8CF2" w:rsidR="006E1FA1" w:rsidRPr="00C55247" w:rsidRDefault="00771E02" w:rsidP="00AE262E">
            <w:pPr>
              <w:rPr>
                <w:rFonts w:cs="Arial"/>
                <w:color w:val="auto"/>
              </w:rPr>
            </w:pPr>
            <w:r>
              <w:rPr>
                <w:rFonts w:cs="Arial"/>
                <w:color w:val="auto"/>
              </w:rPr>
              <w:t>Confidential Report</w:t>
            </w:r>
          </w:p>
        </w:tc>
        <w:tc>
          <w:tcPr>
            <w:tcW w:w="4455" w:type="dxa"/>
            <w:gridSpan w:val="2"/>
            <w:tcBorders>
              <w:top w:val="single" w:sz="4" w:space="0" w:color="auto"/>
              <w:left w:val="single" w:sz="4" w:space="0" w:color="auto"/>
              <w:bottom w:val="single" w:sz="4" w:space="0" w:color="auto"/>
              <w:right w:val="single" w:sz="4" w:space="0" w:color="auto"/>
            </w:tcBorders>
          </w:tcPr>
          <w:p w14:paraId="2B561EF1" w14:textId="57156B08" w:rsidR="006E1FA1" w:rsidRPr="00C55247" w:rsidRDefault="004A39C3" w:rsidP="004A39C3">
            <w:pPr>
              <w:ind w:left="426" w:hanging="426"/>
              <w:rPr>
                <w:color w:val="auto"/>
              </w:rPr>
            </w:pPr>
            <w:r w:rsidRPr="00C55247">
              <w:rPr>
                <w:color w:val="auto"/>
              </w:rPr>
              <w:t xml:space="preserve">Yes </w:t>
            </w:r>
          </w:p>
          <w:p w14:paraId="20081F55" w14:textId="77777777" w:rsidR="004A39C3" w:rsidRPr="00C55247" w:rsidRDefault="004A39C3" w:rsidP="004A39C3">
            <w:pPr>
              <w:ind w:left="18" w:hanging="18"/>
              <w:rPr>
                <w:rFonts w:cs="Arial"/>
                <w:color w:val="auto"/>
              </w:rPr>
            </w:pPr>
            <w:r w:rsidRPr="00C55247">
              <w:rPr>
                <w:rFonts w:cs="Arial"/>
                <w:color w:val="auto"/>
              </w:rPr>
              <w:t xml:space="preserve">If yes, include the following and then select the reason from the list below </w:t>
            </w:r>
          </w:p>
          <w:p w14:paraId="72A6B41A" w14:textId="220F58B1" w:rsidR="004A39C3" w:rsidRPr="00C55247" w:rsidRDefault="5C2B989B" w:rsidP="004A39C3">
            <w:pPr>
              <w:rPr>
                <w:rFonts w:cs="Arial"/>
                <w:color w:val="auto"/>
              </w:rPr>
            </w:pPr>
            <w:r w:rsidRPr="00C55247">
              <w:rPr>
                <w:rFonts w:cs="Arial"/>
                <w:color w:val="auto"/>
              </w:rPr>
              <w:t xml:space="preserve">This information is exempted from publication under Schedule 12A to the Local Government Act 1972 </w:t>
            </w:r>
            <w:r w:rsidR="7ECA0CCF" w:rsidRPr="00C55247">
              <w:rPr>
                <w:rFonts w:cs="Arial"/>
                <w:color w:val="auto"/>
              </w:rPr>
              <w:t xml:space="preserve"> since it </w:t>
            </w:r>
            <w:r w:rsidRPr="00C55247">
              <w:rPr>
                <w:rFonts w:cs="Arial"/>
                <w:color w:val="auto"/>
              </w:rPr>
              <w:t>is:</w:t>
            </w:r>
          </w:p>
          <w:p w14:paraId="26CB7083" w14:textId="03204938" w:rsidR="004A39C3" w:rsidRPr="00531628" w:rsidRDefault="004A39C3" w:rsidP="00531628">
            <w:pPr>
              <w:pStyle w:val="ListParagraph"/>
              <w:numPr>
                <w:ilvl w:val="0"/>
                <w:numId w:val="41"/>
              </w:numPr>
              <w:rPr>
                <w:rFonts w:cs="Arial"/>
                <w:color w:val="auto"/>
              </w:rPr>
            </w:pPr>
            <w:r w:rsidRPr="00C55247">
              <w:rPr>
                <w:rFonts w:cs="Arial"/>
                <w:color w:val="auto"/>
              </w:rPr>
              <w:t xml:space="preserve">Information about someone’s finances or business </w:t>
            </w:r>
          </w:p>
        </w:tc>
      </w:tr>
      <w:tr w:rsidR="00E15C53" w:rsidRPr="003E4C33" w14:paraId="77954462" w14:textId="77777777" w:rsidTr="6705CB2F">
        <w:trPr>
          <w:trHeight w:val="300"/>
        </w:trPr>
        <w:tc>
          <w:tcPr>
            <w:tcW w:w="1912" w:type="dxa"/>
            <w:gridSpan w:val="2"/>
            <w:tcBorders>
              <w:top w:val="single" w:sz="4" w:space="0" w:color="auto"/>
              <w:left w:val="single" w:sz="4" w:space="0" w:color="auto"/>
              <w:bottom w:val="single" w:sz="4" w:space="0" w:color="auto"/>
              <w:right w:val="single" w:sz="4" w:space="0" w:color="auto"/>
            </w:tcBorders>
          </w:tcPr>
          <w:p w14:paraId="4493653B" w14:textId="0CDE9D36" w:rsidR="00E15C53" w:rsidRPr="00C55247" w:rsidRDefault="00E15C53" w:rsidP="004D7DC7">
            <w:pPr>
              <w:rPr>
                <w:rStyle w:val="Firstpagetablebold"/>
                <w:rFonts w:cs="Arial"/>
                <w:color w:val="auto"/>
              </w:rPr>
            </w:pPr>
            <w:r>
              <w:rPr>
                <w:rStyle w:val="Firstpagetablebold"/>
                <w:rFonts w:cs="Arial"/>
                <w:color w:val="auto"/>
              </w:rPr>
              <w:t>A</w:t>
            </w:r>
            <w:r>
              <w:rPr>
                <w:rStyle w:val="Firstpagetablebold"/>
              </w:rPr>
              <w:t>ppendix 2</w:t>
            </w:r>
          </w:p>
        </w:tc>
        <w:tc>
          <w:tcPr>
            <w:tcW w:w="2803" w:type="dxa"/>
            <w:tcBorders>
              <w:top w:val="single" w:sz="4" w:space="0" w:color="auto"/>
              <w:left w:val="single" w:sz="4" w:space="0" w:color="auto"/>
              <w:bottom w:val="single" w:sz="4" w:space="0" w:color="auto"/>
              <w:right w:val="single" w:sz="4" w:space="0" w:color="auto"/>
            </w:tcBorders>
          </w:tcPr>
          <w:p w14:paraId="659F6B7D" w14:textId="1BAB2A2D" w:rsidR="00E15C53" w:rsidRDefault="00E15C53" w:rsidP="00AE262E">
            <w:pPr>
              <w:rPr>
                <w:rFonts w:cs="Arial"/>
                <w:color w:val="auto"/>
              </w:rPr>
            </w:pPr>
            <w:r>
              <w:rPr>
                <w:rFonts w:cs="Arial"/>
                <w:color w:val="auto"/>
              </w:rPr>
              <w:t>Risk Register</w:t>
            </w:r>
          </w:p>
        </w:tc>
        <w:tc>
          <w:tcPr>
            <w:tcW w:w="4455" w:type="dxa"/>
            <w:gridSpan w:val="2"/>
            <w:tcBorders>
              <w:top w:val="single" w:sz="4" w:space="0" w:color="auto"/>
              <w:left w:val="single" w:sz="4" w:space="0" w:color="auto"/>
              <w:bottom w:val="single" w:sz="4" w:space="0" w:color="auto"/>
              <w:right w:val="single" w:sz="4" w:space="0" w:color="auto"/>
            </w:tcBorders>
          </w:tcPr>
          <w:p w14:paraId="2FEB7932" w14:textId="42B5E853" w:rsidR="00E15C53" w:rsidRPr="00C55247" w:rsidRDefault="00E15C53" w:rsidP="004A39C3">
            <w:pPr>
              <w:ind w:left="426" w:hanging="426"/>
              <w:rPr>
                <w:color w:val="auto"/>
              </w:rPr>
            </w:pPr>
            <w:r>
              <w:rPr>
                <w:color w:val="auto"/>
              </w:rPr>
              <w:t>No</w:t>
            </w:r>
          </w:p>
        </w:tc>
      </w:tr>
    </w:tbl>
    <w:p w14:paraId="464A13D2" w14:textId="72C968EF" w:rsidR="0040736F" w:rsidRPr="003E4C33"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532DA518" w14:textId="04313CB3" w:rsidR="00531628" w:rsidRDefault="00531628" w:rsidP="00BD1F7A">
      <w:pPr>
        <w:pStyle w:val="bParagraphtext"/>
        <w:rPr>
          <w:rFonts w:cs="Arial"/>
          <w:color w:val="auto"/>
        </w:rPr>
      </w:pPr>
      <w:r>
        <w:rPr>
          <w:rFonts w:cs="Arial"/>
          <w:color w:val="auto"/>
        </w:rPr>
        <w:t xml:space="preserve">Oxford City Council owns the freehold interest in Northgate Hall, 18 St Michaels Street. The property is leased to Oxford Evangelical Presbyterian Church (OEPC) on a 35-year lease from January 2023. </w:t>
      </w:r>
    </w:p>
    <w:p w14:paraId="5A497524" w14:textId="2DD86F43" w:rsidR="00531628" w:rsidRDefault="00531628" w:rsidP="00BD1F7A">
      <w:pPr>
        <w:pStyle w:val="bParagraphtext"/>
        <w:rPr>
          <w:rFonts w:cs="Arial"/>
          <w:color w:val="auto"/>
        </w:rPr>
      </w:pPr>
      <w:r>
        <w:rPr>
          <w:rFonts w:cs="Arial"/>
          <w:color w:val="auto"/>
        </w:rPr>
        <w:t>The lease to OEPC generates an annual income for Oxford City Council of £145,000 pa with the lease expiring in January 2058. The tenant has put forward a proposal to acquire the property and terms have subsequently been negotiated</w:t>
      </w:r>
      <w:r w:rsidR="00E15C53">
        <w:rPr>
          <w:rFonts w:cs="Arial"/>
          <w:color w:val="auto"/>
        </w:rPr>
        <w:t xml:space="preserve"> to dispose</w:t>
      </w:r>
      <w:r>
        <w:rPr>
          <w:rFonts w:cs="Arial"/>
          <w:color w:val="auto"/>
        </w:rPr>
        <w:t xml:space="preserve">. </w:t>
      </w:r>
    </w:p>
    <w:p w14:paraId="721731AB" w14:textId="3C6856DF" w:rsidR="00531628" w:rsidRDefault="00531628" w:rsidP="00BD1F7A">
      <w:pPr>
        <w:pStyle w:val="bParagraphtext"/>
        <w:rPr>
          <w:rFonts w:cs="Arial"/>
          <w:color w:val="auto"/>
        </w:rPr>
      </w:pPr>
      <w:r>
        <w:rPr>
          <w:rFonts w:cs="Arial"/>
          <w:color w:val="auto"/>
        </w:rPr>
        <w:t xml:space="preserve">The final terms </w:t>
      </w:r>
      <w:r w:rsidR="00E15C53">
        <w:rPr>
          <w:rFonts w:cs="Arial"/>
          <w:color w:val="auto"/>
        </w:rPr>
        <w:t xml:space="preserve">of the disposal </w:t>
      </w:r>
      <w:r>
        <w:rPr>
          <w:rFonts w:cs="Arial"/>
          <w:color w:val="auto"/>
        </w:rPr>
        <w:t xml:space="preserve">are </w:t>
      </w:r>
      <w:r w:rsidR="00E15C53">
        <w:rPr>
          <w:rFonts w:cs="Arial"/>
          <w:color w:val="auto"/>
        </w:rPr>
        <w:t>confidential and outlined in Appendix 1</w:t>
      </w:r>
      <w:r>
        <w:rPr>
          <w:rFonts w:cs="Arial"/>
          <w:color w:val="auto"/>
        </w:rPr>
        <w:t>.</w:t>
      </w: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240F3F4C" w14:textId="081B6FDA" w:rsidR="00531628" w:rsidRDefault="00531628" w:rsidP="00AE1684">
      <w:pPr>
        <w:pStyle w:val="bParagraphtext"/>
        <w:rPr>
          <w:rFonts w:cs="Arial"/>
          <w:color w:val="auto"/>
        </w:rPr>
      </w:pPr>
      <w:r>
        <w:rPr>
          <w:rFonts w:cs="Arial"/>
          <w:color w:val="auto"/>
        </w:rPr>
        <w:t xml:space="preserve">The Council is looking at all options to manage its budget in the Medium-Term Financial Plan, and the disposal of this property will generate a capital receipt that will support the Council’s financial position. </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55CCACE4" w:rsidR="006C7D2E" w:rsidRPr="00C55247" w:rsidRDefault="00531628" w:rsidP="00531628">
      <w:pPr>
        <w:pStyle w:val="ListParagraph"/>
      </w:pPr>
      <w:r>
        <w:t xml:space="preserve">The only alternative option is to not dispose of the property and continue with the current lease and income stream. This option does not provide as great a financial return to the Medium-Term Financial Plan and therefore it was rejected.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000A6F80" w:rsidR="009D3627" w:rsidRDefault="00E60B17" w:rsidP="6705CB2F">
      <w:pPr>
        <w:pStyle w:val="ListParagraph"/>
        <w:rPr>
          <w:color w:val="auto"/>
        </w:rPr>
      </w:pPr>
      <w:r>
        <w:rPr>
          <w:color w:val="auto"/>
        </w:rPr>
        <w:t xml:space="preserve">The disposal of the property does not give rise to any direct equalities issues and therefore an Equalities Impact Assessment is not necessary. </w:t>
      </w:r>
    </w:p>
    <w:p w14:paraId="3FDAFAC7" w14:textId="718B6F54" w:rsidR="00E60B17" w:rsidRDefault="00E60B17" w:rsidP="6705CB2F">
      <w:pPr>
        <w:pStyle w:val="ListParagraph"/>
        <w:rPr>
          <w:color w:val="auto"/>
        </w:rPr>
      </w:pPr>
      <w:r>
        <w:rPr>
          <w:color w:val="auto"/>
        </w:rPr>
        <w:t>The tenant erected a plaque on the external façade of the property to acknowledge past uses. This will remain in place as a condition of the sale.</w:t>
      </w:r>
    </w:p>
    <w:p w14:paraId="26421F52" w14:textId="12D3BC89" w:rsidR="00E60B17" w:rsidRPr="00C55247" w:rsidRDefault="00E60B17" w:rsidP="6705CB2F">
      <w:pPr>
        <w:pStyle w:val="ListParagraph"/>
        <w:rPr>
          <w:color w:val="auto"/>
        </w:rPr>
      </w:pPr>
      <w:r>
        <w:rPr>
          <w:color w:val="auto"/>
        </w:rPr>
        <w:t xml:space="preserve">The financial benefit to the City Council will help provide services, notable in line with the City Council’s ambition to create a more equal city. </w:t>
      </w:r>
    </w:p>
    <w:p w14:paraId="1C43F001" w14:textId="77777777" w:rsidR="00E15C53" w:rsidRDefault="00E15C53" w:rsidP="001A1BA1">
      <w:pPr>
        <w:pStyle w:val="Heading1"/>
        <w:rPr>
          <w:rFonts w:cs="Arial"/>
          <w:color w:val="auto"/>
        </w:rPr>
      </w:pPr>
    </w:p>
    <w:p w14:paraId="769BEE3D" w14:textId="77777777" w:rsidR="00E15C53" w:rsidRPr="00E15C53" w:rsidRDefault="00E15C53" w:rsidP="00E15C53"/>
    <w:p w14:paraId="7AED9DA2" w14:textId="4CE22F78" w:rsidR="009E68E0" w:rsidRPr="00C55247" w:rsidRDefault="009E68E0" w:rsidP="001A1BA1">
      <w:pPr>
        <w:pStyle w:val="Heading1"/>
        <w:rPr>
          <w:rFonts w:cs="Arial"/>
          <w:color w:val="auto"/>
        </w:rPr>
      </w:pPr>
      <w:r w:rsidRPr="00C55247">
        <w:rPr>
          <w:rFonts w:cs="Arial"/>
          <w:color w:val="auto"/>
        </w:rPr>
        <w:lastRenderedPageBreak/>
        <w:t xml:space="preserve">Risks </w:t>
      </w:r>
    </w:p>
    <w:p w14:paraId="1585D049" w14:textId="4510483B" w:rsidR="009E68E0" w:rsidRDefault="00E60B17" w:rsidP="009E68E0">
      <w:pPr>
        <w:pStyle w:val="ListParagraph"/>
        <w:rPr>
          <w:color w:val="auto"/>
        </w:rPr>
      </w:pPr>
      <w:r>
        <w:rPr>
          <w:color w:val="auto"/>
        </w:rPr>
        <w:t>The relevant risks are outlined in t</w:t>
      </w:r>
      <w:r w:rsidR="005C213C">
        <w:rPr>
          <w:color w:val="auto"/>
        </w:rPr>
        <w:t xml:space="preserve">he risk register attached in Appendix 2. These have been managed through communication with the purchasers commercial advisors and through the legal negotiations on disposal documentation, which is in agreed form and awaiting sealing. </w:t>
      </w:r>
    </w:p>
    <w:p w14:paraId="1FC21487" w14:textId="77777777" w:rsidR="005C213C" w:rsidRPr="00C55247" w:rsidRDefault="005C213C" w:rsidP="005C213C">
      <w:pPr>
        <w:pStyle w:val="ListParagraph"/>
        <w:numPr>
          <w:ilvl w:val="0"/>
          <w:numId w:val="0"/>
        </w:numPr>
        <w:ind w:left="426"/>
        <w:rPr>
          <w:color w:val="auto"/>
        </w:rPr>
      </w:pPr>
    </w:p>
    <w:p w14:paraId="6A43684D" w14:textId="77777777"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370548E2" w14:textId="364BC9AE" w:rsidR="00630829" w:rsidRPr="00C55247" w:rsidRDefault="00E60B17" w:rsidP="00630829">
      <w:pPr>
        <w:pStyle w:val="bParagraphtext"/>
        <w:rPr>
          <w:color w:val="auto"/>
        </w:rPr>
      </w:pPr>
      <w:r>
        <w:rPr>
          <w:color w:val="auto"/>
        </w:rPr>
        <w:t xml:space="preserve">This report does not give rise to any direct carbon or environmental considerations. </w:t>
      </w:r>
    </w:p>
    <w:p w14:paraId="2454F4E3" w14:textId="77777777" w:rsidR="00630829" w:rsidRDefault="00630829" w:rsidP="00630829">
      <w:pPr>
        <w:pStyle w:val="ListParagraph"/>
        <w:numPr>
          <w:ilvl w:val="0"/>
          <w:numId w:val="0"/>
        </w:numPr>
        <w:ind w:left="426"/>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610780">
        <w:trPr>
          <w:trHeight w:val="2382"/>
        </w:trPr>
        <w:tc>
          <w:tcPr>
            <w:tcW w:w="1883" w:type="dxa"/>
          </w:tcPr>
          <w:p w14:paraId="2AB1A861" w14:textId="77777777" w:rsidR="00372A82" w:rsidRPr="00BE0B74" w:rsidRDefault="00372A82" w:rsidP="00C076B9">
            <w:pPr>
              <w:pStyle w:val="Bulletpoints"/>
              <w:numPr>
                <w:ilvl w:val="0"/>
                <w:numId w:val="0"/>
              </w:numPr>
              <w:rPr>
                <w:rFonts w:cs="Arial"/>
                <w:b/>
              </w:rPr>
            </w:pPr>
            <w:r w:rsidRPr="00BE0B74">
              <w:rPr>
                <w:rFonts w:cs="Arial"/>
                <w:b/>
              </w:rPr>
              <w:t>Financial implications</w:t>
            </w:r>
          </w:p>
        </w:tc>
        <w:tc>
          <w:tcPr>
            <w:tcW w:w="4379" w:type="dxa"/>
          </w:tcPr>
          <w:p w14:paraId="0696855A" w14:textId="50A3F8D0" w:rsidR="00372A82" w:rsidRPr="00BE0B74" w:rsidRDefault="00BE0B74" w:rsidP="00CB7A4F">
            <w:pPr>
              <w:rPr>
                <w:rFonts w:cs="Arial"/>
                <w:color w:val="auto"/>
              </w:rPr>
            </w:pPr>
            <w:r w:rsidRPr="00BE0B74">
              <w:rPr>
                <w:rStyle w:val="bParagraphtextChar"/>
                <w:rFonts w:cs="Arial"/>
                <w:color w:val="auto"/>
              </w:rPr>
              <w:t>B</w:t>
            </w:r>
            <w:r w:rsidRPr="00BE0B74">
              <w:rPr>
                <w:rStyle w:val="bParagraphtextChar"/>
                <w:rFonts w:cs="Arial"/>
              </w:rPr>
              <w:t>y foregoing the annual rental income in favour of realising a capital receipt, the Council will be able to reduce its f</w:t>
            </w:r>
            <w:r w:rsidRPr="00BE0B74">
              <w:rPr>
                <w:rStyle w:val="bParagraphtextChar"/>
              </w:rPr>
              <w:t xml:space="preserve">uture </w:t>
            </w:r>
            <w:r w:rsidRPr="00BE0B74">
              <w:rPr>
                <w:rStyle w:val="bParagraphtextChar"/>
                <w:rFonts w:cs="Arial"/>
              </w:rPr>
              <w:t>borrowing requirements and save an estimated £245,000 per annum. The net impact of this would be a saving of circa £100,000 per annum.</w:t>
            </w:r>
          </w:p>
        </w:tc>
        <w:tc>
          <w:tcPr>
            <w:tcW w:w="3026" w:type="dxa"/>
          </w:tcPr>
          <w:p w14:paraId="57868ECF" w14:textId="77777777" w:rsidR="00372A82" w:rsidRPr="00BE0B74" w:rsidRDefault="001A1BA1" w:rsidP="00C076B9">
            <w:pPr>
              <w:pStyle w:val="Bulletpoints"/>
              <w:numPr>
                <w:ilvl w:val="0"/>
                <w:numId w:val="0"/>
              </w:numPr>
              <w:rPr>
                <w:rFonts w:cs="Arial"/>
                <w:b/>
                <w:color w:val="auto"/>
              </w:rPr>
            </w:pPr>
            <w:r w:rsidRPr="00BE0B74">
              <w:rPr>
                <w:rFonts w:cs="Arial"/>
                <w:b/>
                <w:color w:val="auto"/>
              </w:rPr>
              <w:t>Completed by:</w:t>
            </w:r>
          </w:p>
          <w:p w14:paraId="60216F1E" w14:textId="22FC061E" w:rsidR="001A1BA1" w:rsidRPr="00BE0B74" w:rsidRDefault="00BE0B74" w:rsidP="00C076B9">
            <w:pPr>
              <w:pStyle w:val="Bulletpoints"/>
              <w:numPr>
                <w:ilvl w:val="0"/>
                <w:numId w:val="0"/>
              </w:numPr>
              <w:rPr>
                <w:rFonts w:cs="Arial"/>
                <w:color w:val="auto"/>
              </w:rPr>
            </w:pPr>
            <w:r w:rsidRPr="00BE0B74">
              <w:rPr>
                <w:rFonts w:cs="Arial"/>
                <w:color w:val="auto"/>
              </w:rPr>
              <w:t>J</w:t>
            </w:r>
            <w:r w:rsidRPr="00BE0B74">
              <w:rPr>
                <w:color w:val="auto"/>
              </w:rPr>
              <w:t>ason Jones</w:t>
            </w:r>
            <w:r>
              <w:rPr>
                <w:color w:val="auto"/>
              </w:rPr>
              <w:t xml:space="preserve"> – Finance Business Partner</w:t>
            </w:r>
          </w:p>
          <w:p w14:paraId="7DB0BC85" w14:textId="401E5DA5" w:rsidR="001A1BA1" w:rsidRPr="00BE0B74" w:rsidRDefault="001A1BA1" w:rsidP="00C076B9">
            <w:pPr>
              <w:pStyle w:val="Bulletpoints"/>
              <w:numPr>
                <w:ilvl w:val="0"/>
                <w:numId w:val="0"/>
              </w:numPr>
              <w:rPr>
                <w:rFonts w:cs="Arial"/>
                <w:b/>
                <w:color w:val="auto"/>
              </w:rPr>
            </w:pPr>
            <w:r w:rsidRPr="00BE0B74">
              <w:rPr>
                <w:rFonts w:cs="Arial"/>
                <w:b/>
                <w:color w:val="auto"/>
              </w:rPr>
              <w:t>Date:</w:t>
            </w:r>
            <w:r w:rsidR="00BE0B74" w:rsidRPr="00BE0B74">
              <w:rPr>
                <w:rFonts w:cs="Arial"/>
                <w:b/>
                <w:color w:val="auto"/>
              </w:rPr>
              <w:t xml:space="preserve"> </w:t>
            </w:r>
            <w:r w:rsidR="00BE0B74" w:rsidRPr="00E15C53">
              <w:rPr>
                <w:rFonts w:cs="Arial"/>
                <w:bCs/>
                <w:color w:val="auto"/>
              </w:rPr>
              <w:t>12th March 2025</w:t>
            </w:r>
          </w:p>
          <w:p w14:paraId="003D265E" w14:textId="401E0F0A" w:rsidR="001A1BA1" w:rsidRPr="00BE0B74" w:rsidRDefault="001A1BA1" w:rsidP="00C076B9">
            <w:pPr>
              <w:pStyle w:val="Bulletpoints"/>
              <w:numPr>
                <w:ilvl w:val="0"/>
                <w:numId w:val="0"/>
              </w:numPr>
              <w:rPr>
                <w:rFonts w:cs="Arial"/>
                <w:color w:val="auto"/>
              </w:rPr>
            </w:pPr>
          </w:p>
        </w:tc>
      </w:tr>
      <w:tr w:rsidR="00372A82" w:rsidRPr="003E4C33" w14:paraId="7D8DECFB" w14:textId="77777777" w:rsidTr="00BD1F7A">
        <w:tc>
          <w:tcPr>
            <w:tcW w:w="1883" w:type="dxa"/>
          </w:tcPr>
          <w:p w14:paraId="1C5F2B75" w14:textId="77777777" w:rsidR="00372A82" w:rsidRPr="00610780" w:rsidRDefault="00372A82" w:rsidP="008A34D3">
            <w:pPr>
              <w:pStyle w:val="Bulletpoints"/>
              <w:numPr>
                <w:ilvl w:val="0"/>
                <w:numId w:val="0"/>
              </w:numPr>
              <w:rPr>
                <w:rFonts w:cs="Arial"/>
                <w:b/>
              </w:rPr>
            </w:pPr>
            <w:r w:rsidRPr="00610780">
              <w:rPr>
                <w:rFonts w:cs="Arial"/>
                <w:b/>
              </w:rPr>
              <w:t xml:space="preserve">Legal </w:t>
            </w:r>
            <w:r w:rsidR="008A34D3" w:rsidRPr="00610780">
              <w:rPr>
                <w:rFonts w:cs="Arial"/>
                <w:b/>
              </w:rPr>
              <w:t xml:space="preserve">implications </w:t>
            </w:r>
          </w:p>
        </w:tc>
        <w:tc>
          <w:tcPr>
            <w:tcW w:w="4379" w:type="dxa"/>
          </w:tcPr>
          <w:p w14:paraId="2505231D" w14:textId="7DA8982D" w:rsidR="00610780" w:rsidRPr="00610780" w:rsidRDefault="00610780" w:rsidP="00372A82">
            <w:pPr>
              <w:pStyle w:val="bParagraphtext"/>
              <w:numPr>
                <w:ilvl w:val="0"/>
                <w:numId w:val="0"/>
              </w:numPr>
              <w:tabs>
                <w:tab w:val="clear" w:pos="426"/>
                <w:tab w:val="left" w:pos="176"/>
              </w:tabs>
              <w:rPr>
                <w:rFonts w:cs="Arial"/>
                <w:color w:val="auto"/>
              </w:rPr>
            </w:pPr>
            <w:r w:rsidRPr="00610780">
              <w:rPr>
                <w:rFonts w:cs="Arial"/>
                <w:color w:val="auto"/>
              </w:rPr>
              <w:t>The terms of the sale have been reviewed by the legal department, including the sale contract and transfer. It is considered that the terms protect the Council’s position and are in line with the Council’s obligations in s123 Local Government Act 1972.</w:t>
            </w:r>
          </w:p>
          <w:p w14:paraId="11BAD199" w14:textId="67D7FB67" w:rsidR="00372A82" w:rsidRPr="00610780" w:rsidRDefault="00610780" w:rsidP="00CB7A4F">
            <w:pPr>
              <w:rPr>
                <w:rFonts w:cs="Arial"/>
                <w:color w:val="auto"/>
              </w:rPr>
            </w:pPr>
            <w:r w:rsidRPr="00610780">
              <w:rPr>
                <w:rStyle w:val="bParagraphtextChar"/>
                <w:rFonts w:cs="Arial"/>
                <w:color w:val="auto"/>
              </w:rPr>
              <w:t>T</w:t>
            </w:r>
            <w:r w:rsidRPr="00610780">
              <w:rPr>
                <w:rStyle w:val="bParagraphtextChar"/>
              </w:rPr>
              <w:t>his decision has been taken in consultation with the Director of Law, Governance and Strategy.</w:t>
            </w:r>
            <w:r w:rsidR="00CB7A4F" w:rsidRPr="00610780">
              <w:rPr>
                <w:rStyle w:val="bParagraphtextChar"/>
                <w:rFonts w:cs="Arial"/>
                <w:color w:val="auto"/>
              </w:rPr>
              <w:t xml:space="preserve"> </w:t>
            </w:r>
          </w:p>
        </w:tc>
        <w:tc>
          <w:tcPr>
            <w:tcW w:w="3026" w:type="dxa"/>
          </w:tcPr>
          <w:p w14:paraId="47079A0C" w14:textId="77777777" w:rsidR="001A1BA1" w:rsidRPr="00610780" w:rsidRDefault="001A1BA1" w:rsidP="001A1BA1">
            <w:pPr>
              <w:pStyle w:val="Bulletpoints"/>
              <w:numPr>
                <w:ilvl w:val="0"/>
                <w:numId w:val="0"/>
              </w:numPr>
              <w:rPr>
                <w:rFonts w:cs="Arial"/>
                <w:b/>
                <w:color w:val="auto"/>
              </w:rPr>
            </w:pPr>
            <w:r w:rsidRPr="00610780">
              <w:rPr>
                <w:rFonts w:cs="Arial"/>
                <w:b/>
                <w:color w:val="auto"/>
              </w:rPr>
              <w:t>Completed by:</w:t>
            </w:r>
          </w:p>
          <w:p w14:paraId="09AD926F" w14:textId="66CA18CD" w:rsidR="001A1BA1" w:rsidRPr="00610780" w:rsidRDefault="00610780" w:rsidP="001A1BA1">
            <w:pPr>
              <w:pStyle w:val="Bulletpoints"/>
              <w:numPr>
                <w:ilvl w:val="0"/>
                <w:numId w:val="0"/>
              </w:numPr>
              <w:rPr>
                <w:rFonts w:cs="Arial"/>
                <w:color w:val="auto"/>
              </w:rPr>
            </w:pPr>
            <w:r>
              <w:rPr>
                <w:rFonts w:cs="Arial"/>
                <w:color w:val="auto"/>
              </w:rPr>
              <w:t xml:space="preserve">Kathleen Fraser – Locum Commercial Property Solicitor </w:t>
            </w:r>
          </w:p>
          <w:p w14:paraId="62D75828" w14:textId="77777777" w:rsidR="001A1BA1" w:rsidRPr="00610780" w:rsidRDefault="001A1BA1" w:rsidP="001A1BA1">
            <w:pPr>
              <w:pStyle w:val="Bulletpoints"/>
              <w:numPr>
                <w:ilvl w:val="0"/>
                <w:numId w:val="0"/>
              </w:numPr>
              <w:rPr>
                <w:rFonts w:cs="Arial"/>
                <w:b/>
                <w:color w:val="auto"/>
              </w:rPr>
            </w:pPr>
            <w:r w:rsidRPr="00610780">
              <w:rPr>
                <w:rFonts w:cs="Arial"/>
                <w:b/>
                <w:color w:val="auto"/>
              </w:rPr>
              <w:t>Date:</w:t>
            </w:r>
          </w:p>
          <w:p w14:paraId="7A5DDA55" w14:textId="7522097B" w:rsidR="00372A82" w:rsidRPr="005C213C" w:rsidRDefault="00610780" w:rsidP="001A1BA1">
            <w:pPr>
              <w:pStyle w:val="Bulletpoints"/>
              <w:numPr>
                <w:ilvl w:val="0"/>
                <w:numId w:val="0"/>
              </w:numPr>
              <w:rPr>
                <w:rFonts w:cs="Arial"/>
                <w:color w:val="auto"/>
                <w:highlight w:val="yellow"/>
              </w:rPr>
            </w:pPr>
            <w:r>
              <w:rPr>
                <w:rFonts w:cs="Arial"/>
                <w:color w:val="auto"/>
              </w:rPr>
              <w:t>12</w:t>
            </w:r>
            <w:r w:rsidRPr="00610780">
              <w:rPr>
                <w:rFonts w:cs="Arial"/>
                <w:color w:val="auto"/>
                <w:vertAlign w:val="superscript"/>
              </w:rPr>
              <w:t>th</w:t>
            </w:r>
            <w:r>
              <w:rPr>
                <w:rFonts w:cs="Arial"/>
                <w:color w:val="auto"/>
              </w:rPr>
              <w:t xml:space="preserve"> March 2025</w:t>
            </w:r>
          </w:p>
        </w:tc>
      </w:tr>
      <w:tr w:rsidR="001A1BA1" w:rsidRPr="003E4C33" w14:paraId="6F38FEBF" w14:textId="77777777" w:rsidTr="00BD1F7A">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551EC2BE" w:rsidR="00CB7A4F" w:rsidRPr="00C55247" w:rsidRDefault="005C213C" w:rsidP="00372A82">
            <w:pPr>
              <w:pStyle w:val="bParagraphtext"/>
              <w:numPr>
                <w:ilvl w:val="0"/>
                <w:numId w:val="0"/>
              </w:numPr>
              <w:rPr>
                <w:rFonts w:cs="Arial"/>
                <w:color w:val="auto"/>
              </w:rPr>
            </w:pPr>
            <w:r>
              <w:rPr>
                <w:rFonts w:cs="Arial"/>
                <w:color w:val="auto"/>
              </w:rPr>
              <w:t>None</w:t>
            </w:r>
            <w:r w:rsidR="00CB7A4F" w:rsidRPr="00C55247">
              <w:rPr>
                <w:rFonts w:cs="Arial"/>
                <w:color w:val="auto"/>
              </w:rPr>
              <w:t xml:space="preserve"> </w:t>
            </w:r>
          </w:p>
        </w:tc>
        <w:tc>
          <w:tcPr>
            <w:tcW w:w="3026" w:type="dxa"/>
          </w:tcPr>
          <w:p w14:paraId="48FAD318"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59811DC1" w14:textId="4A02E180" w:rsidR="001A1BA1" w:rsidRPr="00C55247" w:rsidRDefault="005C213C" w:rsidP="001A1BA1">
            <w:pPr>
              <w:pStyle w:val="Bulletpoints"/>
              <w:numPr>
                <w:ilvl w:val="0"/>
                <w:numId w:val="0"/>
              </w:numPr>
              <w:rPr>
                <w:rFonts w:cs="Arial"/>
                <w:color w:val="auto"/>
              </w:rPr>
            </w:pPr>
            <w:r>
              <w:rPr>
                <w:rFonts w:cs="Arial"/>
                <w:color w:val="auto"/>
              </w:rPr>
              <w:t>n/a</w:t>
            </w:r>
          </w:p>
          <w:p w14:paraId="495F4D61"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68285B07" w14:textId="4B3C57AA" w:rsidR="001A1BA1" w:rsidRPr="00C55247" w:rsidRDefault="005C213C" w:rsidP="001A1BA1">
            <w:pPr>
              <w:pStyle w:val="Bulletpoints"/>
              <w:numPr>
                <w:ilvl w:val="0"/>
                <w:numId w:val="0"/>
              </w:numPr>
              <w:rPr>
                <w:rFonts w:cs="Arial"/>
                <w:color w:val="auto"/>
              </w:rPr>
            </w:pPr>
            <w:r>
              <w:rPr>
                <w:rFonts w:cs="Arial"/>
                <w:color w:val="auto"/>
              </w:rPr>
              <w:t>n/a</w:t>
            </w:r>
          </w:p>
        </w:tc>
      </w:tr>
      <w:tr w:rsidR="007967CA" w:rsidRPr="003E4C33" w14:paraId="2C18B277" w14:textId="77777777" w:rsidTr="00BD1F7A">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63633795" w:rsidR="007967CA" w:rsidRPr="00C55247" w:rsidRDefault="005C213C" w:rsidP="00372A82">
            <w:pPr>
              <w:pStyle w:val="bParagraphtext"/>
              <w:numPr>
                <w:ilvl w:val="0"/>
                <w:numId w:val="0"/>
              </w:numPr>
              <w:rPr>
                <w:rFonts w:cs="Arial"/>
                <w:color w:val="auto"/>
              </w:rPr>
            </w:pPr>
            <w:r>
              <w:rPr>
                <w:rFonts w:cs="Arial"/>
                <w:color w:val="auto"/>
              </w:rPr>
              <w:t>None</w:t>
            </w:r>
            <w:r w:rsidR="007967CA" w:rsidRPr="00C55247">
              <w:rPr>
                <w:rFonts w:cs="Arial"/>
                <w:color w:val="auto"/>
              </w:rPr>
              <w:t xml:space="preserve"> </w:t>
            </w:r>
          </w:p>
        </w:tc>
        <w:tc>
          <w:tcPr>
            <w:tcW w:w="3026" w:type="dxa"/>
          </w:tcPr>
          <w:p w14:paraId="7424BC62" w14:textId="77777777" w:rsidR="007967CA" w:rsidRPr="00C55247" w:rsidRDefault="007967CA" w:rsidP="007967CA">
            <w:pPr>
              <w:pStyle w:val="Bulletpoints"/>
              <w:numPr>
                <w:ilvl w:val="0"/>
                <w:numId w:val="0"/>
              </w:numPr>
              <w:rPr>
                <w:rFonts w:cs="Arial"/>
                <w:b/>
                <w:color w:val="auto"/>
              </w:rPr>
            </w:pPr>
            <w:r w:rsidRPr="00C55247">
              <w:rPr>
                <w:rFonts w:cs="Arial"/>
                <w:b/>
                <w:color w:val="auto"/>
              </w:rPr>
              <w:t>Completed by:</w:t>
            </w:r>
          </w:p>
          <w:p w14:paraId="405BF3DD" w14:textId="3473E633" w:rsidR="007967CA" w:rsidRPr="00C55247" w:rsidRDefault="005C213C" w:rsidP="007967CA">
            <w:pPr>
              <w:pStyle w:val="Bulletpoints"/>
              <w:numPr>
                <w:ilvl w:val="0"/>
                <w:numId w:val="0"/>
              </w:numPr>
              <w:rPr>
                <w:rFonts w:cs="Arial"/>
                <w:color w:val="auto"/>
              </w:rPr>
            </w:pPr>
            <w:r>
              <w:rPr>
                <w:rFonts w:cs="Arial"/>
                <w:color w:val="auto"/>
              </w:rPr>
              <w:t>n/a</w:t>
            </w:r>
          </w:p>
          <w:p w14:paraId="22A72D4B" w14:textId="77777777" w:rsidR="007967CA" w:rsidRPr="00C55247" w:rsidRDefault="007967CA" w:rsidP="007967CA">
            <w:pPr>
              <w:pStyle w:val="Bulletpoints"/>
              <w:numPr>
                <w:ilvl w:val="0"/>
                <w:numId w:val="0"/>
              </w:numPr>
              <w:rPr>
                <w:rFonts w:cs="Arial"/>
                <w:b/>
                <w:color w:val="auto"/>
              </w:rPr>
            </w:pPr>
            <w:r w:rsidRPr="00C55247">
              <w:rPr>
                <w:rFonts w:cs="Arial"/>
                <w:b/>
                <w:color w:val="auto"/>
              </w:rPr>
              <w:t>Date:</w:t>
            </w:r>
          </w:p>
          <w:p w14:paraId="5918EBBE" w14:textId="38FD96FA" w:rsidR="007967CA" w:rsidRPr="005C213C" w:rsidRDefault="005C213C" w:rsidP="007967CA">
            <w:pPr>
              <w:pStyle w:val="Bulletpoints"/>
              <w:numPr>
                <w:ilvl w:val="0"/>
                <w:numId w:val="0"/>
              </w:numPr>
              <w:rPr>
                <w:rFonts w:cs="Arial"/>
                <w:bCs/>
                <w:color w:val="auto"/>
              </w:rPr>
            </w:pPr>
            <w:r>
              <w:rPr>
                <w:rFonts w:cs="Arial"/>
                <w:bCs/>
                <w:color w:val="auto"/>
              </w:rPr>
              <w:t>n/a</w:t>
            </w:r>
          </w:p>
        </w:tc>
      </w:tr>
    </w:tbl>
    <w:p w14:paraId="7891D21B" w14:textId="78C294AB" w:rsidR="00FB3B71" w:rsidRPr="003E4C33" w:rsidRDefault="00FB3B71" w:rsidP="002B0329">
      <w:pPr>
        <w:pStyle w:val="bParagraphtext"/>
        <w:numPr>
          <w:ilvl w:val="0"/>
          <w:numId w:val="0"/>
        </w:numPr>
        <w:rPr>
          <w:rFonts w:cs="Arial"/>
          <w:b/>
        </w:rPr>
      </w:pPr>
    </w:p>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lastRenderedPageBreak/>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FD4075" w14:textId="16C541BC" w:rsidR="006C767F" w:rsidRPr="003E4C33" w:rsidRDefault="005C213C" w:rsidP="12E744BB">
            <w:pPr>
              <w:rPr>
                <w:rFonts w:eastAsia="Arial" w:cs="Arial"/>
              </w:rPr>
            </w:pPr>
            <w:r>
              <w:rPr>
                <w:rFonts w:eastAsia="Arial" w:cs="Arial"/>
              </w:rPr>
              <w:t>None</w:t>
            </w:r>
          </w:p>
        </w:tc>
      </w:tr>
    </w:tbl>
    <w:p w14:paraId="0D36453B" w14:textId="1874FC0C" w:rsidR="00FB3B71" w:rsidRDefault="00FB3B71" w:rsidP="0033565F">
      <w:pPr>
        <w:pStyle w:val="bParagraphtext"/>
        <w:numPr>
          <w:ilvl w:val="0"/>
          <w:numId w:val="0"/>
        </w:numPr>
        <w:ind w:left="426"/>
        <w:rPr>
          <w:rFonts w:cs="Arial"/>
          <w:b/>
          <w:bCs/>
        </w:rPr>
      </w:pPr>
    </w:p>
    <w:p w14:paraId="0E9AFFD5" w14:textId="77777777" w:rsidR="005C213C" w:rsidRPr="003E4C33" w:rsidRDefault="005C213C"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1A923D78" w:rsidR="00E87F7A" w:rsidRPr="003E4C33" w:rsidRDefault="005C213C" w:rsidP="00A46E98">
            <w:pPr>
              <w:rPr>
                <w:rFonts w:cs="Arial"/>
              </w:rPr>
            </w:pPr>
            <w:r>
              <w:rPr>
                <w:rFonts w:cs="Arial"/>
              </w:rPr>
              <w:t>Alex Miller</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4D548F45" w:rsidR="00E87F7A" w:rsidRPr="00C55247" w:rsidRDefault="005C213C" w:rsidP="00A46E98">
            <w:pPr>
              <w:rPr>
                <w:rFonts w:cs="Arial"/>
                <w:color w:val="auto"/>
              </w:rPr>
            </w:pPr>
            <w:r>
              <w:rPr>
                <w:rFonts w:cs="Arial"/>
                <w:color w:val="auto"/>
              </w:rPr>
              <w:t>Transaction Manager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0E802C0E" w:rsidR="00E87F7A" w:rsidRPr="00C55247" w:rsidRDefault="005C213C" w:rsidP="00A46E98">
            <w:pPr>
              <w:rPr>
                <w:rFonts w:cs="Arial"/>
                <w:color w:val="auto"/>
              </w:rPr>
            </w:pPr>
            <w:r>
              <w:rPr>
                <w:rFonts w:cs="Arial"/>
                <w:color w:val="auto"/>
              </w:rPr>
              <w:t>Corporate Property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43392907" w:rsidR="00E87F7A" w:rsidRPr="00C55247" w:rsidRDefault="005C213C" w:rsidP="00A46E98">
            <w:pPr>
              <w:rPr>
                <w:rStyle w:val="Hyperlink"/>
                <w:rFonts w:cs="Arial"/>
                <w:color w:val="auto"/>
              </w:rPr>
            </w:pPr>
            <w:r>
              <w:rPr>
                <w:rStyle w:val="Hyperlink"/>
                <w:rFonts w:cs="Arial"/>
                <w:color w:val="auto"/>
              </w:rPr>
              <w:t>amiller@oxford.gov.uk</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5"/>
        <w:gridCol w:w="1418"/>
      </w:tblGrid>
      <w:tr w:rsidR="001A1BA1" w:rsidRPr="003E4C33" w14:paraId="55292CC4" w14:textId="77777777" w:rsidTr="6705CB2F">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6" w:type="dxa"/>
            <w:vAlign w:val="center"/>
          </w:tcPr>
          <w:p w14:paraId="66370075" w14:textId="77777777" w:rsidR="001A1BA1" w:rsidRPr="003E4C33" w:rsidRDefault="001A1BA1" w:rsidP="000772EB">
            <w:pPr>
              <w:rPr>
                <w:b/>
                <w:i/>
              </w:rPr>
            </w:pPr>
            <w:r w:rsidRPr="003E4C33">
              <w:rPr>
                <w:b/>
                <w:i/>
              </w:rPr>
              <w:t>Name and job title</w:t>
            </w:r>
          </w:p>
        </w:tc>
        <w:tc>
          <w:tcPr>
            <w:tcW w:w="1417"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6705CB2F">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536" w:type="dxa"/>
            <w:vAlign w:val="center"/>
          </w:tcPr>
          <w:p w14:paraId="33DFBFFA" w14:textId="23406B30" w:rsidR="001A1BA1" w:rsidRPr="00C55247" w:rsidRDefault="005C213C" w:rsidP="000772EB">
            <w:pPr>
              <w:rPr>
                <w:color w:val="A6A6A6" w:themeColor="background1" w:themeShade="A6"/>
              </w:rPr>
            </w:pPr>
            <w:r>
              <w:rPr>
                <w:color w:val="auto"/>
              </w:rPr>
              <w:t>N</w:t>
            </w:r>
            <w:r>
              <w:t>/A</w:t>
            </w:r>
          </w:p>
        </w:tc>
        <w:tc>
          <w:tcPr>
            <w:tcW w:w="1417" w:type="dxa"/>
            <w:vAlign w:val="center"/>
          </w:tcPr>
          <w:p w14:paraId="29D4AEB7" w14:textId="77777777" w:rsidR="001A1BA1" w:rsidRPr="003E4C33" w:rsidRDefault="001A1BA1" w:rsidP="000772EB"/>
        </w:tc>
      </w:tr>
      <w:tr w:rsidR="001A1BA1" w:rsidRPr="003E4C33" w14:paraId="5B08396D" w14:textId="77777777" w:rsidTr="6705CB2F">
        <w:trPr>
          <w:trHeight w:val="1161"/>
        </w:trPr>
        <w:tc>
          <w:tcPr>
            <w:tcW w:w="3119" w:type="dxa"/>
          </w:tcPr>
          <w:p w14:paraId="206914C9" w14:textId="589FD153" w:rsidR="001A1BA1" w:rsidRPr="003E4C33" w:rsidRDefault="005C213C" w:rsidP="000772EB">
            <w:pPr>
              <w:spacing w:before="120"/>
              <w:rPr>
                <w:b/>
              </w:rPr>
            </w:pPr>
            <w:r>
              <w:rPr>
                <w:b/>
              </w:rPr>
              <w:t>Group Finance Director</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6" w:type="dxa"/>
            <w:vAlign w:val="center"/>
          </w:tcPr>
          <w:p w14:paraId="476C7451" w14:textId="288B8A2C" w:rsidR="001A1BA1" w:rsidRPr="003E4C33" w:rsidRDefault="005C213C" w:rsidP="000772EB">
            <w:r>
              <w:t>Nigel Kennedy, Group Finance Director</w:t>
            </w:r>
          </w:p>
        </w:tc>
        <w:tc>
          <w:tcPr>
            <w:tcW w:w="1417" w:type="dxa"/>
            <w:vAlign w:val="center"/>
          </w:tcPr>
          <w:p w14:paraId="26B724B7" w14:textId="3117A847" w:rsidR="001A1BA1" w:rsidRPr="003E4C33" w:rsidRDefault="00380B90" w:rsidP="000772EB">
            <w:r>
              <w:t>13/03/20</w:t>
            </w:r>
            <w:r w:rsidR="00227AFB">
              <w:t>25</w:t>
            </w:r>
          </w:p>
        </w:tc>
      </w:tr>
      <w:tr w:rsidR="001A1BA1" w:rsidRPr="003E4C33" w14:paraId="54CB0EFE" w14:textId="77777777" w:rsidTr="6705CB2F">
        <w:trPr>
          <w:trHeight w:val="834"/>
        </w:trPr>
        <w:tc>
          <w:tcPr>
            <w:tcW w:w="3119" w:type="dxa"/>
          </w:tcPr>
          <w:p w14:paraId="658FE63C" w14:textId="519A7AC4" w:rsidR="001A1BA1" w:rsidRPr="005C213C" w:rsidRDefault="005C213C" w:rsidP="000772EB">
            <w:pPr>
              <w:spacing w:before="120"/>
              <w:rPr>
                <w:b/>
                <w:bCs/>
              </w:rPr>
            </w:pPr>
            <w:r w:rsidRPr="005C213C">
              <w:rPr>
                <w:b/>
                <w:bCs/>
              </w:rPr>
              <w:t xml:space="preserve">Director Law, Governance &amp; Strategy </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6" w:type="dxa"/>
            <w:vAlign w:val="center"/>
          </w:tcPr>
          <w:p w14:paraId="459F8630" w14:textId="7E02FDA0" w:rsidR="001A1BA1" w:rsidRPr="003E4C33" w:rsidRDefault="005C213C" w:rsidP="000772EB">
            <w:r>
              <w:t>Emma Jackman, Director Law, Governance &amp; Strategy</w:t>
            </w:r>
          </w:p>
        </w:tc>
        <w:tc>
          <w:tcPr>
            <w:tcW w:w="1417" w:type="dxa"/>
          </w:tcPr>
          <w:p w14:paraId="461EF455" w14:textId="77777777" w:rsidR="001A1BA1" w:rsidRDefault="001A1BA1" w:rsidP="000772EB"/>
          <w:p w14:paraId="318E9485" w14:textId="77777777" w:rsidR="00227AFB" w:rsidRDefault="00227AFB" w:rsidP="000772EB"/>
          <w:p w14:paraId="13EBB6A8" w14:textId="5E940342" w:rsidR="00227AFB" w:rsidRPr="003E4C33" w:rsidRDefault="00227AFB" w:rsidP="000772EB">
            <w:r>
              <w:t>13/03/2025</w:t>
            </w:r>
          </w:p>
        </w:tc>
      </w:tr>
      <w:tr w:rsidR="001A1BA1" w:rsidRPr="003E4C33" w14:paraId="266E8AC6" w14:textId="77777777" w:rsidTr="6705CB2F">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15716D51" w:rsidR="001A1BA1" w:rsidRPr="003E4C33" w:rsidRDefault="005C213C" w:rsidP="000772EB">
            <w:r>
              <w:t xml:space="preserve">Cllr Ed Turner, </w:t>
            </w:r>
            <w:r w:rsidRPr="000A7DBA">
              <w:t>Deputy Leader and Cabinet Member for Finance &amp; Asset Management</w:t>
            </w:r>
          </w:p>
        </w:tc>
        <w:tc>
          <w:tcPr>
            <w:tcW w:w="1417" w:type="dxa"/>
            <w:vAlign w:val="center"/>
          </w:tcPr>
          <w:p w14:paraId="79ED7A02" w14:textId="744ECA8F" w:rsidR="001A1BA1" w:rsidRPr="003E4C33" w:rsidRDefault="00227AFB" w:rsidP="000772EB">
            <w:r>
              <w:t>13/03/2025</w:t>
            </w:r>
          </w:p>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6" w:type="dxa"/>
            <w:vAlign w:val="center"/>
          </w:tcPr>
          <w:p w14:paraId="0E06D3A4" w14:textId="3CD3A618" w:rsidR="001A1BA1" w:rsidRPr="003E4C33" w:rsidRDefault="005C213C" w:rsidP="000772EB">
            <w:r>
              <w:t>N/A</w:t>
            </w:r>
          </w:p>
        </w:tc>
        <w:tc>
          <w:tcPr>
            <w:tcW w:w="1417"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lastRenderedPageBreak/>
        <w:t>Decision Maker Approval</w:t>
      </w:r>
    </w:p>
    <w:tbl>
      <w:tblPr>
        <w:tblStyle w:val="TableGrid1"/>
        <w:tblW w:w="0" w:type="auto"/>
        <w:tblInd w:w="137" w:type="dxa"/>
        <w:tblLook w:val="04A0" w:firstRow="1" w:lastRow="0" w:firstColumn="1" w:lastColumn="0" w:noHBand="0" w:noVBand="1"/>
      </w:tblPr>
      <w:tblGrid>
        <w:gridCol w:w="5103"/>
        <w:gridCol w:w="1418"/>
      </w:tblGrid>
      <w:tr w:rsidR="0BC4DFF5" w:rsidRPr="003E4C33" w14:paraId="56628C58" w14:textId="77777777" w:rsidTr="0BC4DFF5">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751E9A78" w14:textId="53839A03" w:rsidR="0065690B" w:rsidRDefault="00E30E52">
            <w:pPr>
              <w:rPr>
                <w:color w:val="auto"/>
              </w:rPr>
            </w:pPr>
            <w:r w:rsidRPr="00E30E52">
              <w:rPr>
                <w:noProof/>
                <w:color w:val="auto"/>
              </w:rPr>
              <w:drawing>
                <wp:inline distT="0" distB="0" distL="0" distR="0" wp14:anchorId="7AB84033" wp14:editId="0983DFF0">
                  <wp:extent cx="1501270" cy="670618"/>
                  <wp:effectExtent l="0" t="0" r="3810" b="0"/>
                  <wp:docPr id="28187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7672" name=""/>
                          <pic:cNvPicPr/>
                        </pic:nvPicPr>
                        <pic:blipFill>
                          <a:blip r:embed="rId17"/>
                          <a:stretch>
                            <a:fillRect/>
                          </a:stretch>
                        </pic:blipFill>
                        <pic:spPr>
                          <a:xfrm>
                            <a:off x="0" y="0"/>
                            <a:ext cx="1501270" cy="670618"/>
                          </a:xfrm>
                          <a:prstGeom prst="rect">
                            <a:avLst/>
                          </a:prstGeom>
                        </pic:spPr>
                      </pic:pic>
                    </a:graphicData>
                  </a:graphic>
                </wp:inline>
              </w:drawing>
            </w:r>
          </w:p>
          <w:p w14:paraId="249841EC" w14:textId="5D49D934" w:rsidR="0BC4DFF5" w:rsidRPr="00C55247" w:rsidRDefault="005C213C">
            <w:r>
              <w:rPr>
                <w:color w:val="auto"/>
              </w:rPr>
              <w:t>Tom Bridgman, Deputy Chief Executive Place</w:t>
            </w:r>
          </w:p>
        </w:tc>
        <w:tc>
          <w:tcPr>
            <w:tcW w:w="1417" w:type="dxa"/>
            <w:vAlign w:val="center"/>
          </w:tcPr>
          <w:p w14:paraId="32E398AB" w14:textId="0C622BAF" w:rsidR="00CB7A4F" w:rsidRPr="003E4C33" w:rsidRDefault="00E30E52">
            <w:r>
              <w:t>20/03/2025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4" w:name="_bookmark0"/>
      <w:bookmarkEnd w:id="4"/>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even" r:id="rId18"/>
      <w:headerReference w:type="default" r:id="rId19"/>
      <w:footerReference w:type="even" r:id="rId20"/>
      <w:footerReference w:type="default" r:id="rId21"/>
      <w:headerReference w:type="first" r:id="rId22"/>
      <w:footerReference w:type="first" r:id="rId23"/>
      <w:pgSz w:w="11906" w:h="16838" w:code="9"/>
      <w:pgMar w:top="1418" w:right="1304" w:bottom="1628" w:left="1304" w:header="113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XWELL Ted" w:date="2024-12-10T16:09:00Z" w:initials="MT">
    <w:p w14:paraId="7C05A5D4" w14:textId="77777777" w:rsidR="00565063" w:rsidRDefault="00565063" w:rsidP="00565063">
      <w:pPr>
        <w:pStyle w:val="CommentText"/>
      </w:pPr>
      <w:r>
        <w:rPr>
          <w:rStyle w:val="CommentReference"/>
        </w:rPr>
        <w:annotationRef/>
      </w:r>
      <w:hyperlink r:id="rId1" w:history="1">
        <w:r w:rsidRPr="30A10C1A">
          <w:rPr>
            <w:noProof/>
          </w:rPr>
          <w:t>@OFOSU Jason</w:t>
        </w:r>
      </w:hyperlink>
      <w:r w:rsidRPr="3201B619">
        <w:t xml:space="preserve"> when I chatted to Carolyn before, she said that something like this was required, or else the explicit delegation in the cabinet decision would override existing delegations, and therefore create headaches down the line. Is that not the case?</w:t>
      </w:r>
    </w:p>
  </w:comment>
  <w:comment w:id="1" w:author="OFOSU Jason" w:date="2024-12-10T16:34:00Z" w:initials="OJ">
    <w:p w14:paraId="7FB7B7CA" w14:textId="77777777" w:rsidR="00565063" w:rsidRDefault="00565063" w:rsidP="00565063">
      <w:pPr>
        <w:pStyle w:val="CommentText"/>
      </w:pPr>
      <w:r>
        <w:rPr>
          <w:rStyle w:val="CommentReference"/>
        </w:rPr>
        <w:annotationRef/>
      </w:r>
      <w:r w:rsidRPr="04CD0531">
        <w:t>The extra wording "where powers are not already delegated within the constitution ..."  is fine to include.</w:t>
      </w:r>
    </w:p>
  </w:comment>
  <w:comment w:id="2" w:author="WINFIELD Jane" w:date="2024-12-18T18:48:00Z" w:initials="WJ">
    <w:p w14:paraId="4612B14D" w14:textId="77777777" w:rsidR="00565063" w:rsidRDefault="00565063" w:rsidP="00565063">
      <w:pPr>
        <w:pStyle w:val="CommentText"/>
      </w:pPr>
      <w:r>
        <w:rPr>
          <w:rStyle w:val="CommentReference"/>
        </w:rPr>
        <w:annotationRef/>
      </w:r>
      <w:r w:rsidRPr="3EDDB8F7">
        <w:t xml:space="preserve">powers to over ride s123 are not in the constitution - also asking why Ted M is being asked to comment on Ted B's report ! </w:t>
      </w:r>
    </w:p>
  </w:comment>
  <w:comment w:id="3" w:author="MILLER Alex" w:date="2024-12-23T10:11:00Z" w:initials="AM">
    <w:p w14:paraId="5628A69F" w14:textId="77777777" w:rsidR="00565063" w:rsidRDefault="00565063" w:rsidP="00565063">
      <w:pPr>
        <w:pStyle w:val="CommentText"/>
      </w:pPr>
      <w:r>
        <w:rPr>
          <w:rStyle w:val="CommentReference"/>
        </w:rPr>
        <w:annotationRef/>
      </w:r>
      <w:r>
        <w:t xml:space="preserve">I’m not sure why Ted M is commenting - I have not sent this to either him or Jason Ofosu previously.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05A5D4" w15:done="1"/>
  <w15:commentEx w15:paraId="7FB7B7CA" w15:paraIdParent="7C05A5D4" w15:done="1"/>
  <w15:commentEx w15:paraId="4612B14D" w15:paraIdParent="7C05A5D4" w15:done="1"/>
  <w15:commentEx w15:paraId="5628A69F" w15:paraIdParent="7C05A5D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4337E" w16cex:dateUtc="2024-12-10T16:09:00Z"/>
  <w16cex:commentExtensible w16cex:durableId="2B04337D" w16cex:dateUtc="2024-12-10T16:34:00Z">
    <w16cex:extLst>
      <w16:ext w16:uri="{CE6994B0-6A32-4C9F-8C6B-6E91EDA988CE}">
        <cr:reactions xmlns:cr="http://schemas.microsoft.com/office/comments/2020/reactions">
          <cr:reaction reactionType="1">
            <cr:reactionInfo dateUtc="2024-12-10T16:37:54Z">
              <cr:user userId="S::tmaxwell@oxford.gov.uk::7b9391fc-a400-487f-b9ec-424a336683b1" userProvider="AD" userName="MAXWELL Ted"/>
            </cr:reactionInfo>
          </cr:reaction>
        </cr:reactions>
      </w16:ext>
    </w16cex:extLst>
  </w16cex:commentExtensible>
  <w16cex:commentExtensible w16cex:durableId="1E2348AE" w16cex:dateUtc="2024-12-18T18:48:00Z"/>
  <w16cex:commentExtensible w16cex:durableId="2B13B5B5" w16cex:dateUtc="2024-12-23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5A5D4" w16cid:durableId="2B04337E"/>
  <w16cid:commentId w16cid:paraId="7FB7B7CA" w16cid:durableId="2B04337D"/>
  <w16cid:commentId w16cid:paraId="4612B14D" w16cid:durableId="1E2348AE"/>
  <w16cid:commentId w16cid:paraId="5628A69F" w16cid:durableId="2B13B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662B" w14:textId="77777777" w:rsidR="00FC73CD" w:rsidRDefault="00FC73CD" w:rsidP="004A6D2F">
      <w:r>
        <w:separator/>
      </w:r>
    </w:p>
  </w:endnote>
  <w:endnote w:type="continuationSeparator" w:id="0">
    <w:p w14:paraId="18998FFF" w14:textId="77777777" w:rsidR="00FC73CD" w:rsidRDefault="00FC73CD"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3B20" w14:textId="77777777" w:rsidR="00FC73CD" w:rsidRDefault="00FC73CD" w:rsidP="004A6D2F">
      <w:r>
        <w:separator/>
      </w:r>
    </w:p>
  </w:footnote>
  <w:footnote w:type="continuationSeparator" w:id="0">
    <w:p w14:paraId="3A35BA47" w14:textId="77777777" w:rsidR="00FC73CD" w:rsidRDefault="00FC73CD"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1194964"/>
    <w:multiLevelType w:val="hybridMultilevel"/>
    <w:tmpl w:val="9A6813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49C05EF"/>
    <w:multiLevelType w:val="multilevel"/>
    <w:tmpl w:val="43D6D2FA"/>
    <w:numStyleLink w:val="StyleBulletedSymbolsymbolLeft063cmHanging063cm"/>
  </w:abstractNum>
  <w:abstractNum w:abstractNumId="15"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7"/>
  </w:num>
  <w:num w:numId="2" w16cid:durableId="295525028">
    <w:abstractNumId w:val="17"/>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5"/>
  </w:num>
  <w:num w:numId="12" w16cid:durableId="1616984022">
    <w:abstractNumId w:val="18"/>
  </w:num>
  <w:num w:numId="13" w16cid:durableId="611942354">
    <w:abstractNumId w:val="30"/>
  </w:num>
  <w:num w:numId="14" w16cid:durableId="48847933">
    <w:abstractNumId w:val="29"/>
  </w:num>
  <w:num w:numId="15" w16cid:durableId="1594360626">
    <w:abstractNumId w:val="12"/>
  </w:num>
  <w:num w:numId="16" w16cid:durableId="806975598">
    <w:abstractNumId w:val="43"/>
  </w:num>
  <w:num w:numId="17" w16cid:durableId="1143692141">
    <w:abstractNumId w:val="19"/>
  </w:num>
  <w:num w:numId="18" w16cid:durableId="290284048">
    <w:abstractNumId w:val="13"/>
  </w:num>
  <w:num w:numId="19" w16cid:durableId="346717609">
    <w:abstractNumId w:val="34"/>
  </w:num>
  <w:num w:numId="20" w16cid:durableId="490602500">
    <w:abstractNumId w:val="14"/>
  </w:num>
  <w:num w:numId="21" w16cid:durableId="1664510238">
    <w:abstractNumId w:val="36"/>
  </w:num>
  <w:num w:numId="22" w16cid:durableId="1264797914">
    <w:abstractNumId w:val="20"/>
  </w:num>
  <w:num w:numId="23" w16cid:durableId="1892495712">
    <w:abstractNumId w:val="24"/>
  </w:num>
  <w:num w:numId="24" w16cid:durableId="1551064890">
    <w:abstractNumId w:val="16"/>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1265844821">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XWELL Ted">
    <w15:presenceInfo w15:providerId="AD" w15:userId="S::tmaxwell@oxford.gov.uk::7b9391fc-a400-487f-b9ec-424a336683b1"/>
  </w15:person>
  <w15:person w15:author="OFOSU Jason">
    <w15:presenceInfo w15:providerId="AD" w15:userId="S::jofosu@oxford.gov.uk::bea7b36b-30f9-4c01-939c-6c51a046cac3"/>
  </w15:person>
  <w15:person w15:author="WINFIELD Jane">
    <w15:presenceInfo w15:providerId="AD" w15:userId="S::jwinfield@oxford.gov.uk::1b979f9c-f81c-4cb2-ab99-fcc5656eaec0"/>
  </w15:person>
  <w15:person w15:author="MILLER Alex">
    <w15:presenceInfo w15:providerId="AD" w15:userId="S::amiller@oxford.gov.uk::066213e8-c284-46ab-a6aa-1cacfd46e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4D8A"/>
    <w:rsid w:val="00064F82"/>
    <w:rsid w:val="00066510"/>
    <w:rsid w:val="00077523"/>
    <w:rsid w:val="0008425C"/>
    <w:rsid w:val="000B1DFC"/>
    <w:rsid w:val="000C089F"/>
    <w:rsid w:val="000C3928"/>
    <w:rsid w:val="000C5E8E"/>
    <w:rsid w:val="000F3878"/>
    <w:rsid w:val="000F4751"/>
    <w:rsid w:val="0010524C"/>
    <w:rsid w:val="00111FB1"/>
    <w:rsid w:val="00113418"/>
    <w:rsid w:val="00117C1C"/>
    <w:rsid w:val="00124E5C"/>
    <w:rsid w:val="001356F1"/>
    <w:rsid w:val="00136994"/>
    <w:rsid w:val="0014128E"/>
    <w:rsid w:val="00151888"/>
    <w:rsid w:val="00170A2D"/>
    <w:rsid w:val="001808BC"/>
    <w:rsid w:val="00182B81"/>
    <w:rsid w:val="0018619D"/>
    <w:rsid w:val="001A011E"/>
    <w:rsid w:val="001A066A"/>
    <w:rsid w:val="001A13E6"/>
    <w:rsid w:val="001A1BA1"/>
    <w:rsid w:val="001A5731"/>
    <w:rsid w:val="001B42C3"/>
    <w:rsid w:val="001C5D5E"/>
    <w:rsid w:val="001D678D"/>
    <w:rsid w:val="001E03F8"/>
    <w:rsid w:val="001E1678"/>
    <w:rsid w:val="001E3376"/>
    <w:rsid w:val="002069B3"/>
    <w:rsid w:val="00226F8A"/>
    <w:rsid w:val="00227AFB"/>
    <w:rsid w:val="002329CF"/>
    <w:rsid w:val="00232F5B"/>
    <w:rsid w:val="00241830"/>
    <w:rsid w:val="00247C29"/>
    <w:rsid w:val="00260467"/>
    <w:rsid w:val="00263EA3"/>
    <w:rsid w:val="00284F85"/>
    <w:rsid w:val="002870C3"/>
    <w:rsid w:val="00290915"/>
    <w:rsid w:val="002A22E2"/>
    <w:rsid w:val="002B46A9"/>
    <w:rsid w:val="002B6836"/>
    <w:rsid w:val="002C64F7"/>
    <w:rsid w:val="002F41F2"/>
    <w:rsid w:val="00301BF3"/>
    <w:rsid w:val="0030208D"/>
    <w:rsid w:val="00323418"/>
    <w:rsid w:val="003273FD"/>
    <w:rsid w:val="0033565F"/>
    <w:rsid w:val="003357BF"/>
    <w:rsid w:val="00340B77"/>
    <w:rsid w:val="00354567"/>
    <w:rsid w:val="00364FAD"/>
    <w:rsid w:val="0036738F"/>
    <w:rsid w:val="0036759C"/>
    <w:rsid w:val="00367AE5"/>
    <w:rsid w:val="00367D71"/>
    <w:rsid w:val="00372A82"/>
    <w:rsid w:val="00380B90"/>
    <w:rsid w:val="0038150A"/>
    <w:rsid w:val="003B6E75"/>
    <w:rsid w:val="003B7DA1"/>
    <w:rsid w:val="003D0379"/>
    <w:rsid w:val="003D2574"/>
    <w:rsid w:val="003D4C5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8207A"/>
    <w:rsid w:val="00491046"/>
    <w:rsid w:val="00496078"/>
    <w:rsid w:val="004A2AC7"/>
    <w:rsid w:val="004A39C3"/>
    <w:rsid w:val="004A6D2F"/>
    <w:rsid w:val="004B11AE"/>
    <w:rsid w:val="004C2887"/>
    <w:rsid w:val="004D2626"/>
    <w:rsid w:val="004D6E26"/>
    <w:rsid w:val="004D77D3"/>
    <w:rsid w:val="004E2959"/>
    <w:rsid w:val="004F20EF"/>
    <w:rsid w:val="0050321C"/>
    <w:rsid w:val="00507ECC"/>
    <w:rsid w:val="00512370"/>
    <w:rsid w:val="00523261"/>
    <w:rsid w:val="00531628"/>
    <w:rsid w:val="00531E16"/>
    <w:rsid w:val="0054712D"/>
    <w:rsid w:val="00547EF6"/>
    <w:rsid w:val="005570B5"/>
    <w:rsid w:val="00565063"/>
    <w:rsid w:val="00566DCF"/>
    <w:rsid w:val="00567E18"/>
    <w:rsid w:val="00575F5F"/>
    <w:rsid w:val="00576CD0"/>
    <w:rsid w:val="00581805"/>
    <w:rsid w:val="00585F76"/>
    <w:rsid w:val="005A34E4"/>
    <w:rsid w:val="005A6610"/>
    <w:rsid w:val="005B064B"/>
    <w:rsid w:val="005B17F2"/>
    <w:rsid w:val="005B7FB0"/>
    <w:rsid w:val="005C213C"/>
    <w:rsid w:val="005C35A5"/>
    <w:rsid w:val="005C577C"/>
    <w:rsid w:val="005D0621"/>
    <w:rsid w:val="005D1E27"/>
    <w:rsid w:val="005D2A3E"/>
    <w:rsid w:val="005E022E"/>
    <w:rsid w:val="005E2B45"/>
    <w:rsid w:val="005E5215"/>
    <w:rsid w:val="005F7F7E"/>
    <w:rsid w:val="00610780"/>
    <w:rsid w:val="00614693"/>
    <w:rsid w:val="00622741"/>
    <w:rsid w:val="00623C2F"/>
    <w:rsid w:val="00630829"/>
    <w:rsid w:val="00633578"/>
    <w:rsid w:val="0063408C"/>
    <w:rsid w:val="00635E3E"/>
    <w:rsid w:val="00637068"/>
    <w:rsid w:val="00647F06"/>
    <w:rsid w:val="00650811"/>
    <w:rsid w:val="0065690B"/>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614E"/>
    <w:rsid w:val="006F0292"/>
    <w:rsid w:val="006F27FA"/>
    <w:rsid w:val="006F416B"/>
    <w:rsid w:val="006F519B"/>
    <w:rsid w:val="00713675"/>
    <w:rsid w:val="00715823"/>
    <w:rsid w:val="007253EF"/>
    <w:rsid w:val="00737B93"/>
    <w:rsid w:val="00745BF0"/>
    <w:rsid w:val="00751EA3"/>
    <w:rsid w:val="00756260"/>
    <w:rsid w:val="007615FE"/>
    <w:rsid w:val="00764BAF"/>
    <w:rsid w:val="0076655C"/>
    <w:rsid w:val="00771E02"/>
    <w:rsid w:val="007727C0"/>
    <w:rsid w:val="007742DC"/>
    <w:rsid w:val="00791437"/>
    <w:rsid w:val="007967CA"/>
    <w:rsid w:val="007B0C2C"/>
    <w:rsid w:val="007B278E"/>
    <w:rsid w:val="007B5CA2"/>
    <w:rsid w:val="007C5C23"/>
    <w:rsid w:val="007E2A26"/>
    <w:rsid w:val="007F2348"/>
    <w:rsid w:val="007F4757"/>
    <w:rsid w:val="00803F07"/>
    <w:rsid w:val="0080749A"/>
    <w:rsid w:val="00821FB8"/>
    <w:rsid w:val="00822ACD"/>
    <w:rsid w:val="00855C66"/>
    <w:rsid w:val="00867AD9"/>
    <w:rsid w:val="00871EE4"/>
    <w:rsid w:val="008954DF"/>
    <w:rsid w:val="008A34D3"/>
    <w:rsid w:val="008B293F"/>
    <w:rsid w:val="008B7371"/>
    <w:rsid w:val="008C3026"/>
    <w:rsid w:val="008D13F7"/>
    <w:rsid w:val="008D2347"/>
    <w:rsid w:val="008D3DDB"/>
    <w:rsid w:val="008D7662"/>
    <w:rsid w:val="008F1BB4"/>
    <w:rsid w:val="008F3B04"/>
    <w:rsid w:val="008F573F"/>
    <w:rsid w:val="00900092"/>
    <w:rsid w:val="009034EC"/>
    <w:rsid w:val="0093067A"/>
    <w:rsid w:val="00941C60"/>
    <w:rsid w:val="00941FD1"/>
    <w:rsid w:val="0096297B"/>
    <w:rsid w:val="00966D42"/>
    <w:rsid w:val="00971689"/>
    <w:rsid w:val="0097170F"/>
    <w:rsid w:val="00973E90"/>
    <w:rsid w:val="00975B07"/>
    <w:rsid w:val="00980B4A"/>
    <w:rsid w:val="0099164D"/>
    <w:rsid w:val="009B3E8A"/>
    <w:rsid w:val="009D3627"/>
    <w:rsid w:val="009D7080"/>
    <w:rsid w:val="009E3D0A"/>
    <w:rsid w:val="009E51FC"/>
    <w:rsid w:val="009E68E0"/>
    <w:rsid w:val="009F1D28"/>
    <w:rsid w:val="009F6BC0"/>
    <w:rsid w:val="009F7618"/>
    <w:rsid w:val="00A04D23"/>
    <w:rsid w:val="00A06766"/>
    <w:rsid w:val="00A13765"/>
    <w:rsid w:val="00A21B12"/>
    <w:rsid w:val="00A23F80"/>
    <w:rsid w:val="00A46E98"/>
    <w:rsid w:val="00A6352B"/>
    <w:rsid w:val="00A701B5"/>
    <w:rsid w:val="00A714BB"/>
    <w:rsid w:val="00A77147"/>
    <w:rsid w:val="00A824F2"/>
    <w:rsid w:val="00A92D8F"/>
    <w:rsid w:val="00AB2988"/>
    <w:rsid w:val="00AB2A81"/>
    <w:rsid w:val="00AB3F66"/>
    <w:rsid w:val="00AB7999"/>
    <w:rsid w:val="00AD3292"/>
    <w:rsid w:val="00AE1684"/>
    <w:rsid w:val="00AE262E"/>
    <w:rsid w:val="00AE7AF0"/>
    <w:rsid w:val="00B21DD9"/>
    <w:rsid w:val="00B35BD0"/>
    <w:rsid w:val="00B500CA"/>
    <w:rsid w:val="00B6369C"/>
    <w:rsid w:val="00B86314"/>
    <w:rsid w:val="00B93FFA"/>
    <w:rsid w:val="00BA1C2E"/>
    <w:rsid w:val="00BC200B"/>
    <w:rsid w:val="00BC4756"/>
    <w:rsid w:val="00BC69A4"/>
    <w:rsid w:val="00BD1F7A"/>
    <w:rsid w:val="00BE0680"/>
    <w:rsid w:val="00BE0B74"/>
    <w:rsid w:val="00BE305F"/>
    <w:rsid w:val="00BE7BA3"/>
    <w:rsid w:val="00BF2B37"/>
    <w:rsid w:val="00BF5682"/>
    <w:rsid w:val="00BF7B09"/>
    <w:rsid w:val="00C05260"/>
    <w:rsid w:val="00C059B9"/>
    <w:rsid w:val="00C076B9"/>
    <w:rsid w:val="00C13356"/>
    <w:rsid w:val="00C20A95"/>
    <w:rsid w:val="00C2692F"/>
    <w:rsid w:val="00C3207C"/>
    <w:rsid w:val="00C36619"/>
    <w:rsid w:val="00C400E1"/>
    <w:rsid w:val="00C41187"/>
    <w:rsid w:val="00C55247"/>
    <w:rsid w:val="00C63C31"/>
    <w:rsid w:val="00C757A0"/>
    <w:rsid w:val="00C760DE"/>
    <w:rsid w:val="00C82630"/>
    <w:rsid w:val="00C85B4E"/>
    <w:rsid w:val="00C87578"/>
    <w:rsid w:val="00C907F7"/>
    <w:rsid w:val="00CA2103"/>
    <w:rsid w:val="00CB21E8"/>
    <w:rsid w:val="00CB6B99"/>
    <w:rsid w:val="00CB7A4F"/>
    <w:rsid w:val="00CE4C87"/>
    <w:rsid w:val="00CE544A"/>
    <w:rsid w:val="00D01361"/>
    <w:rsid w:val="00D11E1C"/>
    <w:rsid w:val="00D160B0"/>
    <w:rsid w:val="00D17F94"/>
    <w:rsid w:val="00D223FC"/>
    <w:rsid w:val="00D26D1E"/>
    <w:rsid w:val="00D33FBF"/>
    <w:rsid w:val="00D474CF"/>
    <w:rsid w:val="00D5547E"/>
    <w:rsid w:val="00D8270A"/>
    <w:rsid w:val="00D860E2"/>
    <w:rsid w:val="00D869A1"/>
    <w:rsid w:val="00D919A0"/>
    <w:rsid w:val="00DA413F"/>
    <w:rsid w:val="00DA4584"/>
    <w:rsid w:val="00DA47BC"/>
    <w:rsid w:val="00DA614B"/>
    <w:rsid w:val="00DB7AD7"/>
    <w:rsid w:val="00DB7C7E"/>
    <w:rsid w:val="00DC3060"/>
    <w:rsid w:val="00DE0FB2"/>
    <w:rsid w:val="00DF093E"/>
    <w:rsid w:val="00DF5D4E"/>
    <w:rsid w:val="00E01F42"/>
    <w:rsid w:val="00E05CAA"/>
    <w:rsid w:val="00E0652A"/>
    <w:rsid w:val="00E15C53"/>
    <w:rsid w:val="00E206D6"/>
    <w:rsid w:val="00E30E52"/>
    <w:rsid w:val="00E3366E"/>
    <w:rsid w:val="00E508A1"/>
    <w:rsid w:val="00E52086"/>
    <w:rsid w:val="00E543A6"/>
    <w:rsid w:val="00E551C4"/>
    <w:rsid w:val="00E60479"/>
    <w:rsid w:val="00E60B17"/>
    <w:rsid w:val="00E61D73"/>
    <w:rsid w:val="00E73684"/>
    <w:rsid w:val="00E818D6"/>
    <w:rsid w:val="00E87F7A"/>
    <w:rsid w:val="00E94B3E"/>
    <w:rsid w:val="00E96BD7"/>
    <w:rsid w:val="00EA0DB1"/>
    <w:rsid w:val="00EA0EE9"/>
    <w:rsid w:val="00ED52CA"/>
    <w:rsid w:val="00ED5860"/>
    <w:rsid w:val="00EE149B"/>
    <w:rsid w:val="00EE35C9"/>
    <w:rsid w:val="00F03F3C"/>
    <w:rsid w:val="00F05ECA"/>
    <w:rsid w:val="00F122B1"/>
    <w:rsid w:val="00F26E21"/>
    <w:rsid w:val="00F3566E"/>
    <w:rsid w:val="00F375FB"/>
    <w:rsid w:val="00F41AC1"/>
    <w:rsid w:val="00F4367A"/>
    <w:rsid w:val="00F445B1"/>
    <w:rsid w:val="00F45CD4"/>
    <w:rsid w:val="00F66DCA"/>
    <w:rsid w:val="00F74F53"/>
    <w:rsid w:val="00F7606D"/>
    <w:rsid w:val="00F81670"/>
    <w:rsid w:val="00F82024"/>
    <w:rsid w:val="00F865A3"/>
    <w:rsid w:val="00F95BC9"/>
    <w:rsid w:val="00F96B7E"/>
    <w:rsid w:val="00FA624C"/>
    <w:rsid w:val="00FB3B71"/>
    <w:rsid w:val="00FC73CD"/>
    <w:rsid w:val="00FD0FAC"/>
    <w:rsid w:val="00FD1DFA"/>
    <w:rsid w:val="00FD4966"/>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jofosu@oxford.gov.u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ur01.safelinks.protection.outlook.com/?url=http%3A%2F%2Fmycouncilpages.oxford.gov.uk%2FieListDocuments.aspx%3FCId%3D527%26MId%3D7866&amp;data=05%7C02%7CAMILLER%40oxford.gov.uk%7C2f2c6294e0144721f63d08dd60ad4cbe%7C9f3d0f395e2b4f889d43e9344f9aa02d%7C0%7C0%7C638773019628948292%7CUnknown%7CTWFpbGZsb3d8eyJFbXB0eU1hcGkiOnRydWUsIlYiOiIwLjAuMDAwMCIsIlAiOiJXaW4zMiIsIkFOIjoiTWFpbCIsIldUIjoyfQ%3D%3D%7C0%7C%7C%7C&amp;sdata=7rTQYiZAzwlh6C9YVFyzMmdb24q81PZJL5g4z%2B2Cs0g%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mycouncil.oxford.gov.uk%2FmgIssueHistoryHome.aspx%3FIId%3D38845%26PlanId%3D520%26RPID%3D29149330&amp;data=05%7C02%7CAMILLER%40oxford.gov.uk%7Cf210a37ab13f405db50308dd5c03b78d%7C9f3d0f395e2b4f889d43e9344f9aa02d%7C0%7C0%7C638767893206398857%7CUnknown%7CTWFpbGZsb3d8eyJFbXB0eU1hcGkiOnRydWUsIlYiOiIwLjAuMDAwMCIsIlAiOiJXaW4zMiIsIkFOIjoiTWFpbCIsIldUIjoyfQ%3D%3D%7C0%7C%7C%7C&amp;sdata=Vx0Bj7jki9fiW9WztTNKY1lBfsQgPUQGlEy28IIIhPs%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0084659A8C14A869EF91DDC71B369" ma:contentTypeVersion="4" ma:contentTypeDescription="Create a new document." ma:contentTypeScope="" ma:versionID="1bef9870b4cf41f2705c813fc741edcd">
  <xsd:schema xmlns:xsd="http://www.w3.org/2001/XMLSchema" xmlns:xs="http://www.w3.org/2001/XMLSchema" xmlns:p="http://schemas.microsoft.com/office/2006/metadata/properties" xmlns:ns2="ac7a786f-a2c7-4d9b-96a8-3d484e57d929" targetNamespace="http://schemas.microsoft.com/office/2006/metadata/properties" ma:root="true" ma:fieldsID="79fddb1682badac180f0e3c21b57d876" ns2:_="">
    <xsd:import namespace="ac7a786f-a2c7-4d9b-96a8-3d484e57d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a786f-a2c7-4d9b-96a8-3d484e57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18786-BC6C-4084-826E-D4C7DFABF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a786f-a2c7-4d9b-96a8-3d484e57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3.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3</cp:revision>
  <cp:lastPrinted>2015-07-03T13:50:00Z</cp:lastPrinted>
  <dcterms:created xsi:type="dcterms:W3CDTF">2025-03-20T10:57:00Z</dcterms:created>
  <dcterms:modified xsi:type="dcterms:W3CDTF">2025-03-20T13:03:00Z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0x010100A470084659A8C14A869EF91DDC71B369</vt:lpwstr>
  </property>
</Properties>
</file>